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8CF7" w14:textId="77777777" w:rsidR="003C7BC7" w:rsidRPr="00842485" w:rsidRDefault="00653DA6" w:rsidP="009E2C4D">
      <w:pPr>
        <w:spacing w:before="0" w:after="120"/>
        <w:rPr>
          <w:rFonts w:ascii="Arial" w:hAnsi="Arial"/>
          <w:b/>
          <w:color w:val="4C4C4C"/>
          <w:sz w:val="24"/>
          <w:szCs w:val="24"/>
        </w:rPr>
      </w:pPr>
      <w:bookmarkStart w:id="0" w:name="_GoBack"/>
      <w:bookmarkEnd w:id="0"/>
      <w:r w:rsidRPr="00842485">
        <w:rPr>
          <w:rFonts w:ascii="Arial" w:hAnsi="Arial"/>
          <w:b/>
          <w:color w:val="4C4C4C"/>
          <w:sz w:val="24"/>
          <w:szCs w:val="24"/>
        </w:rPr>
        <w:t>Table 1: Action Plan o</w:t>
      </w:r>
      <w:r w:rsidR="003C7BC7" w:rsidRPr="00842485">
        <w:rPr>
          <w:rFonts w:ascii="Arial" w:hAnsi="Arial"/>
          <w:b/>
          <w:color w:val="4C4C4C"/>
          <w:sz w:val="24"/>
          <w:szCs w:val="24"/>
        </w:rPr>
        <w:t>verview</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006"/>
        <w:gridCol w:w="4730"/>
        <w:gridCol w:w="4742"/>
      </w:tblGrid>
      <w:tr w:rsidR="00C95F35" w:rsidRPr="00842485" w14:paraId="05C80494" w14:textId="77777777" w:rsidTr="0060120E">
        <w:tc>
          <w:tcPr>
            <w:tcW w:w="11081" w:type="dxa"/>
            <w:gridSpan w:val="2"/>
            <w:tcBorders>
              <w:top w:val="single" w:sz="8" w:space="0" w:color="005DAA"/>
              <w:left w:val="single" w:sz="8" w:space="0" w:color="005DAA"/>
              <w:bottom w:val="single" w:sz="8" w:space="0" w:color="005DAA"/>
              <w:right w:val="single" w:sz="8" w:space="0" w:color="005DAA"/>
            </w:tcBorders>
            <w:shd w:val="solid" w:color="FFFFFF" w:fill="auto"/>
          </w:tcPr>
          <w:p w14:paraId="0AF9BCF2" w14:textId="77777777" w:rsidR="00A42558" w:rsidRDefault="00F01E7A" w:rsidP="009E2C4D">
            <w:pPr>
              <w:spacing w:after="120"/>
              <w:jc w:val="both"/>
              <w:rPr>
                <w:rFonts w:ascii="Arial" w:hAnsi="Arial"/>
                <w:b/>
                <w:bCs/>
                <w:color w:val="4C4C4C"/>
              </w:rPr>
            </w:pPr>
            <w:r w:rsidRPr="00842485">
              <w:rPr>
                <w:rFonts w:ascii="Arial" w:hAnsi="Arial"/>
                <w:b/>
                <w:bCs/>
                <w:color w:val="4C4C4C"/>
              </w:rPr>
              <w:t>Fishery name:</w:t>
            </w:r>
            <w:r w:rsidR="00E31398" w:rsidRPr="00842485">
              <w:rPr>
                <w:rFonts w:ascii="Arial" w:hAnsi="Arial"/>
                <w:b/>
                <w:bCs/>
                <w:color w:val="4C4C4C"/>
              </w:rPr>
              <w:t xml:space="preserve">  </w:t>
            </w:r>
            <w:r w:rsidR="00C75A6B" w:rsidRPr="00842485">
              <w:rPr>
                <w:rFonts w:ascii="Arial" w:hAnsi="Arial"/>
                <w:b/>
                <w:bCs/>
                <w:color w:val="4C4C4C"/>
              </w:rPr>
              <w:t>UK Wester</w:t>
            </w:r>
            <w:r w:rsidR="00A42558">
              <w:rPr>
                <w:rFonts w:ascii="Arial" w:hAnsi="Arial"/>
                <w:b/>
                <w:bCs/>
                <w:color w:val="4C4C4C"/>
              </w:rPr>
              <w:t xml:space="preserve">n Channel and Celtic Sea crustacean pot </w:t>
            </w:r>
            <w:r w:rsidR="00C75A6B" w:rsidRPr="00842485">
              <w:rPr>
                <w:rFonts w:ascii="Arial" w:hAnsi="Arial"/>
                <w:b/>
                <w:bCs/>
                <w:color w:val="4C4C4C"/>
              </w:rPr>
              <w:t>fishery</w:t>
            </w:r>
            <w:r w:rsidR="00A42558">
              <w:rPr>
                <w:rFonts w:ascii="Arial" w:hAnsi="Arial"/>
                <w:b/>
                <w:bCs/>
                <w:color w:val="4C4C4C"/>
              </w:rPr>
              <w:t>:</w:t>
            </w:r>
          </w:p>
          <w:p w14:paraId="29D241E5" w14:textId="77777777" w:rsidR="003C7BC7" w:rsidRPr="00842485" w:rsidRDefault="00A42558" w:rsidP="009E2C4D">
            <w:pPr>
              <w:spacing w:after="120"/>
              <w:jc w:val="both"/>
              <w:rPr>
                <w:rFonts w:ascii="Arial" w:hAnsi="Arial"/>
                <w:b/>
                <w:bCs/>
                <w:color w:val="4C4C4C"/>
              </w:rPr>
            </w:pPr>
            <w:r>
              <w:rPr>
                <w:rFonts w:ascii="Arial" w:hAnsi="Arial"/>
                <w:b/>
                <w:bCs/>
                <w:color w:val="4C4C4C"/>
              </w:rPr>
              <w:t>B</w:t>
            </w:r>
            <w:r w:rsidRPr="00842485">
              <w:rPr>
                <w:rFonts w:ascii="Arial" w:hAnsi="Arial"/>
                <w:b/>
                <w:bCs/>
                <w:color w:val="4C4C4C"/>
              </w:rPr>
              <w:t xml:space="preserve">rown crab </w:t>
            </w:r>
            <w:r>
              <w:rPr>
                <w:rFonts w:ascii="Arial" w:hAnsi="Arial"/>
                <w:b/>
                <w:bCs/>
                <w:color w:val="4C4C4C"/>
              </w:rPr>
              <w:t>(</w:t>
            </w:r>
            <w:r w:rsidRPr="00842485">
              <w:rPr>
                <w:rFonts w:ascii="Arial" w:hAnsi="Arial"/>
                <w:b/>
                <w:bCs/>
                <w:i/>
                <w:color w:val="4C4C4C"/>
              </w:rPr>
              <w:t>Cancer pagurus</w:t>
            </w:r>
            <w:r>
              <w:rPr>
                <w:rFonts w:ascii="Arial" w:hAnsi="Arial"/>
                <w:b/>
                <w:bCs/>
                <w:i/>
                <w:color w:val="4C4C4C"/>
              </w:rPr>
              <w:t>)</w:t>
            </w:r>
            <w:r w:rsidRPr="00A42558">
              <w:rPr>
                <w:rFonts w:ascii="Arial" w:hAnsi="Arial"/>
                <w:b/>
                <w:bCs/>
                <w:color w:val="4C4C4C"/>
              </w:rPr>
              <w:t xml:space="preserve"> and</w:t>
            </w:r>
            <w:r>
              <w:rPr>
                <w:rFonts w:ascii="Arial" w:hAnsi="Arial"/>
                <w:b/>
                <w:bCs/>
                <w:i/>
                <w:color w:val="4C4C4C"/>
              </w:rPr>
              <w:t xml:space="preserve"> </w:t>
            </w:r>
            <w:r>
              <w:rPr>
                <w:rFonts w:ascii="Arial" w:hAnsi="Arial"/>
                <w:b/>
                <w:bCs/>
                <w:color w:val="4C4C4C"/>
              </w:rPr>
              <w:t>lobster</w:t>
            </w:r>
            <w:r w:rsidRPr="00C75A6B">
              <w:rPr>
                <w:rFonts w:ascii="Arial" w:hAnsi="Arial"/>
                <w:b/>
                <w:bCs/>
                <w:color w:val="4C4C4C"/>
              </w:rPr>
              <w:t xml:space="preserve"> </w:t>
            </w:r>
            <w:r>
              <w:rPr>
                <w:rFonts w:ascii="Arial" w:hAnsi="Arial"/>
                <w:b/>
                <w:bCs/>
                <w:color w:val="4C4C4C"/>
              </w:rPr>
              <w:t>(</w:t>
            </w:r>
            <w:r w:rsidRPr="00A962D9">
              <w:rPr>
                <w:rFonts w:ascii="Arial" w:hAnsi="Arial"/>
                <w:b/>
                <w:bCs/>
                <w:i/>
                <w:color w:val="4C4C4C"/>
              </w:rPr>
              <w:t>Homarus gammarus</w:t>
            </w:r>
            <w:r>
              <w:rPr>
                <w:rFonts w:ascii="Arial" w:hAnsi="Arial"/>
                <w:b/>
                <w:bCs/>
                <w:color w:val="4C4C4C"/>
              </w:rPr>
              <w:t>)</w:t>
            </w:r>
          </w:p>
        </w:tc>
        <w:tc>
          <w:tcPr>
            <w:tcW w:w="4397" w:type="dxa"/>
            <w:tcBorders>
              <w:top w:val="single" w:sz="8" w:space="0" w:color="005DAA"/>
              <w:left w:val="single" w:sz="8" w:space="0" w:color="005DAA"/>
              <w:bottom w:val="single" w:sz="8" w:space="0" w:color="005DAA"/>
              <w:right w:val="single" w:sz="8" w:space="0" w:color="005DAA"/>
            </w:tcBorders>
            <w:shd w:val="solid" w:color="FFFFFF" w:fill="auto"/>
          </w:tcPr>
          <w:p w14:paraId="0236A797" w14:textId="77777777" w:rsidR="003C7BC7" w:rsidRPr="00842485" w:rsidRDefault="00F01E7A" w:rsidP="009E2C4D">
            <w:pPr>
              <w:spacing w:after="120"/>
              <w:rPr>
                <w:rFonts w:ascii="Arial" w:hAnsi="Arial"/>
                <w:b/>
                <w:bCs/>
                <w:color w:val="4C4C4C"/>
              </w:rPr>
            </w:pPr>
            <w:r w:rsidRPr="00842485">
              <w:rPr>
                <w:rFonts w:ascii="Arial" w:hAnsi="Arial"/>
                <w:b/>
                <w:bCs/>
                <w:color w:val="4C4C4C"/>
              </w:rPr>
              <w:t>Start date:</w:t>
            </w:r>
            <w:r w:rsidR="00E31398" w:rsidRPr="00842485">
              <w:rPr>
                <w:rFonts w:ascii="Arial" w:hAnsi="Arial"/>
                <w:b/>
                <w:bCs/>
                <w:color w:val="4C4C4C"/>
              </w:rPr>
              <w:t xml:space="preserve">  </w:t>
            </w:r>
            <w:r w:rsidR="0060120E" w:rsidRPr="00842485">
              <w:rPr>
                <w:rFonts w:ascii="Arial" w:hAnsi="Arial"/>
                <w:bCs/>
                <w:color w:val="4C4C4C"/>
              </w:rPr>
              <w:t>01 January 2017</w:t>
            </w:r>
          </w:p>
        </w:tc>
      </w:tr>
      <w:tr w:rsidR="00C95F35" w:rsidRPr="00842485" w14:paraId="589524C7" w14:textId="77777777" w:rsidTr="0060120E">
        <w:trPr>
          <w:trHeight w:val="774"/>
        </w:trPr>
        <w:tc>
          <w:tcPr>
            <w:tcW w:w="6261" w:type="dxa"/>
            <w:tcBorders>
              <w:top w:val="single" w:sz="8" w:space="0" w:color="005DAA"/>
              <w:left w:val="single" w:sz="8" w:space="0" w:color="005DAA"/>
              <w:bottom w:val="single" w:sz="8" w:space="0" w:color="005DAA"/>
              <w:right w:val="single" w:sz="8" w:space="0" w:color="005DAA"/>
            </w:tcBorders>
            <w:shd w:val="solid" w:color="FFFFFF" w:fill="auto"/>
          </w:tcPr>
          <w:p w14:paraId="65646880" w14:textId="77777777" w:rsidR="00E31398" w:rsidRPr="00842485" w:rsidRDefault="00E31398" w:rsidP="009E2C4D">
            <w:pPr>
              <w:spacing w:after="120"/>
              <w:rPr>
                <w:rFonts w:ascii="Arial" w:hAnsi="Arial"/>
                <w:b/>
                <w:bCs/>
                <w:color w:val="4C4C4C"/>
              </w:rPr>
            </w:pPr>
            <w:r w:rsidRPr="00842485">
              <w:rPr>
                <w:rFonts w:ascii="Arial" w:hAnsi="Arial"/>
                <w:b/>
                <w:bCs/>
                <w:color w:val="4C4C4C"/>
              </w:rPr>
              <w:t>Fishery location:</w:t>
            </w:r>
          </w:p>
          <w:p w14:paraId="5809D2F3" w14:textId="77777777" w:rsidR="003D0913" w:rsidRDefault="003A7013" w:rsidP="009E2C4D">
            <w:pPr>
              <w:spacing w:after="120"/>
              <w:rPr>
                <w:rFonts w:ascii="Arial" w:hAnsi="Arial"/>
                <w:bCs/>
                <w:color w:val="4C4C4C"/>
              </w:rPr>
            </w:pPr>
            <w:r w:rsidRPr="00842485">
              <w:rPr>
                <w:rFonts w:ascii="Arial" w:hAnsi="Arial"/>
                <w:bCs/>
                <w:color w:val="4C4C4C"/>
              </w:rPr>
              <w:t xml:space="preserve">Western Channel (VIIe) </w:t>
            </w:r>
            <w:r w:rsidR="00A42558">
              <w:rPr>
                <w:rFonts w:ascii="Arial" w:hAnsi="Arial"/>
                <w:bCs/>
                <w:color w:val="4C4C4C"/>
              </w:rPr>
              <w:t>(Crabs &amp; lobster)</w:t>
            </w:r>
          </w:p>
          <w:p w14:paraId="0BEEAABE" w14:textId="77777777" w:rsidR="00A42558" w:rsidRPr="00842485" w:rsidRDefault="00A42558" w:rsidP="009E2C4D">
            <w:pPr>
              <w:spacing w:after="120"/>
              <w:rPr>
                <w:rFonts w:ascii="Arial" w:hAnsi="Arial"/>
                <w:bCs/>
                <w:color w:val="4C4C4C"/>
              </w:rPr>
            </w:pPr>
            <w:r w:rsidRPr="00277625">
              <w:rPr>
                <w:rFonts w:ascii="Arial" w:hAnsi="Arial"/>
                <w:bCs/>
                <w:color w:val="4C4C4C"/>
              </w:rPr>
              <w:t>VIIf, and part of VIIg</w:t>
            </w:r>
            <w:r>
              <w:rPr>
                <w:rFonts w:ascii="Arial" w:hAnsi="Arial"/>
                <w:bCs/>
                <w:color w:val="4C4C4C"/>
              </w:rPr>
              <w:t xml:space="preserve"> (Lobster only)</w:t>
            </w:r>
          </w:p>
        </w:tc>
        <w:tc>
          <w:tcPr>
            <w:tcW w:w="4820" w:type="dxa"/>
            <w:tcBorders>
              <w:top w:val="single" w:sz="8" w:space="0" w:color="005DAA"/>
              <w:left w:val="single" w:sz="8" w:space="0" w:color="005DAA"/>
              <w:bottom w:val="single" w:sz="8" w:space="0" w:color="005DAA"/>
              <w:right w:val="single" w:sz="8" w:space="0" w:color="005DAA"/>
            </w:tcBorders>
            <w:shd w:val="solid" w:color="FFFFFF" w:fill="auto"/>
          </w:tcPr>
          <w:p w14:paraId="5E18F52B" w14:textId="77777777" w:rsidR="00E31398" w:rsidRPr="00842485" w:rsidRDefault="00E31398" w:rsidP="009E2C4D">
            <w:pPr>
              <w:spacing w:after="120"/>
              <w:rPr>
                <w:rFonts w:ascii="Arial" w:hAnsi="Arial"/>
                <w:b/>
                <w:bCs/>
                <w:color w:val="4C4C4C"/>
              </w:rPr>
            </w:pPr>
            <w:r w:rsidRPr="00842485">
              <w:rPr>
                <w:rFonts w:ascii="Arial" w:hAnsi="Arial"/>
                <w:b/>
                <w:bCs/>
                <w:color w:val="4C4C4C"/>
              </w:rPr>
              <w:t>Fishing method:</w:t>
            </w:r>
          </w:p>
          <w:p w14:paraId="7E824AA9" w14:textId="77777777" w:rsidR="00E31398" w:rsidRPr="00842485" w:rsidRDefault="00C75A6B" w:rsidP="009E2C4D">
            <w:pPr>
              <w:spacing w:after="120"/>
              <w:rPr>
                <w:rFonts w:ascii="Arial" w:hAnsi="Arial"/>
                <w:bCs/>
                <w:color w:val="4C4C4C"/>
              </w:rPr>
            </w:pPr>
            <w:r w:rsidRPr="00842485">
              <w:rPr>
                <w:rFonts w:ascii="Arial" w:hAnsi="Arial"/>
                <w:bCs/>
                <w:color w:val="4C4C4C"/>
              </w:rPr>
              <w:t>Pots</w:t>
            </w:r>
          </w:p>
        </w:tc>
        <w:tc>
          <w:tcPr>
            <w:tcW w:w="4397" w:type="dxa"/>
            <w:tcBorders>
              <w:top w:val="single" w:sz="8" w:space="0" w:color="005DAA"/>
              <w:left w:val="single" w:sz="8" w:space="0" w:color="005DAA"/>
              <w:bottom w:val="single" w:sz="8" w:space="0" w:color="005DAA"/>
              <w:right w:val="single" w:sz="8" w:space="0" w:color="005DAA"/>
            </w:tcBorders>
            <w:shd w:val="solid" w:color="FFFFFF" w:fill="auto"/>
          </w:tcPr>
          <w:p w14:paraId="67771FA4" w14:textId="77777777" w:rsidR="00E31398" w:rsidRPr="00842485" w:rsidRDefault="00E31398" w:rsidP="009E2C4D">
            <w:pPr>
              <w:spacing w:after="120"/>
              <w:rPr>
                <w:rFonts w:ascii="Arial" w:hAnsi="Arial"/>
                <w:b/>
                <w:color w:val="4C4C4C"/>
              </w:rPr>
            </w:pPr>
            <w:r w:rsidRPr="00842485">
              <w:rPr>
                <w:rFonts w:ascii="Arial" w:hAnsi="Arial"/>
                <w:b/>
                <w:color w:val="4C4C4C"/>
              </w:rPr>
              <w:t>End date (anticipated):</w:t>
            </w:r>
          </w:p>
          <w:p w14:paraId="6005C64B" w14:textId="77777777" w:rsidR="00E31398" w:rsidRPr="00842485" w:rsidRDefault="003D0913" w:rsidP="009E2C4D">
            <w:pPr>
              <w:spacing w:after="120"/>
              <w:rPr>
                <w:rFonts w:ascii="Arial" w:hAnsi="Arial"/>
                <w:color w:val="4C4C4C"/>
              </w:rPr>
            </w:pPr>
            <w:r w:rsidRPr="00842485">
              <w:rPr>
                <w:rFonts w:ascii="Arial" w:hAnsi="Arial"/>
                <w:color w:val="4C4C4C"/>
              </w:rPr>
              <w:t>31 December 20</w:t>
            </w:r>
            <w:r w:rsidR="00A42435" w:rsidRPr="00842485">
              <w:rPr>
                <w:rFonts w:ascii="Arial" w:hAnsi="Arial"/>
                <w:color w:val="4C4C4C"/>
              </w:rPr>
              <w:t>21</w:t>
            </w:r>
            <w:r w:rsidRPr="00842485">
              <w:rPr>
                <w:rFonts w:ascii="Arial" w:hAnsi="Arial"/>
                <w:color w:val="4C4C4C"/>
              </w:rPr>
              <w:t xml:space="preserve"> (</w:t>
            </w:r>
            <w:r w:rsidR="00A42435" w:rsidRPr="00842485">
              <w:rPr>
                <w:rFonts w:ascii="Arial" w:hAnsi="Arial"/>
                <w:color w:val="4C4C4C"/>
              </w:rPr>
              <w:t>5</w:t>
            </w:r>
            <w:r w:rsidRPr="00842485">
              <w:rPr>
                <w:rFonts w:ascii="Arial" w:hAnsi="Arial"/>
                <w:color w:val="4C4C4C"/>
              </w:rPr>
              <w:t xml:space="preserve"> years)</w:t>
            </w:r>
          </w:p>
        </w:tc>
      </w:tr>
      <w:tr w:rsidR="00C95F35" w:rsidRPr="00842485" w14:paraId="7AFA5FCB" w14:textId="77777777" w:rsidTr="0060120E">
        <w:tc>
          <w:tcPr>
            <w:tcW w:w="11081" w:type="dxa"/>
            <w:gridSpan w:val="2"/>
            <w:tcBorders>
              <w:top w:val="single" w:sz="8" w:space="0" w:color="005DAA"/>
              <w:left w:val="single" w:sz="8" w:space="0" w:color="005DAA"/>
              <w:bottom w:val="single" w:sz="8" w:space="0" w:color="005DAA"/>
              <w:right w:val="single" w:sz="8" w:space="0" w:color="005DAA"/>
            </w:tcBorders>
            <w:shd w:val="solid" w:color="FFFFFF" w:fill="auto"/>
          </w:tcPr>
          <w:p w14:paraId="6CB0D7F5" w14:textId="77777777" w:rsidR="00E31398" w:rsidRPr="00842485" w:rsidRDefault="00F01E7A" w:rsidP="00210A62">
            <w:pPr>
              <w:spacing w:after="120"/>
              <w:rPr>
                <w:rFonts w:ascii="Arial" w:hAnsi="Arial"/>
                <w:b/>
                <w:bCs/>
                <w:color w:val="4C4C4C"/>
              </w:rPr>
            </w:pPr>
            <w:r w:rsidRPr="00842485">
              <w:rPr>
                <w:rFonts w:ascii="Arial" w:hAnsi="Arial"/>
                <w:b/>
                <w:bCs/>
                <w:color w:val="4C4C4C"/>
              </w:rPr>
              <w:t xml:space="preserve">Project </w:t>
            </w:r>
            <w:r w:rsidR="00210A62" w:rsidRPr="00842485">
              <w:rPr>
                <w:rFonts w:ascii="Arial" w:hAnsi="Arial"/>
                <w:b/>
                <w:bCs/>
                <w:color w:val="4C4C4C"/>
              </w:rPr>
              <w:t>leaders</w:t>
            </w:r>
            <w:r w:rsidR="00210A62" w:rsidRPr="00842485">
              <w:rPr>
                <w:rFonts w:ascii="Arial" w:hAnsi="Arial"/>
                <w:bCs/>
                <w:color w:val="4C4C4C"/>
              </w:rPr>
              <w:t>:</w:t>
            </w:r>
          </w:p>
          <w:p w14:paraId="5759C0E6" w14:textId="77777777" w:rsidR="003C7BC7" w:rsidRPr="00842485" w:rsidRDefault="0060120E" w:rsidP="009E2C4D">
            <w:pPr>
              <w:spacing w:after="120"/>
              <w:rPr>
                <w:rFonts w:ascii="Arial" w:hAnsi="Arial"/>
                <w:bCs/>
                <w:color w:val="4C4C4C"/>
              </w:rPr>
            </w:pPr>
            <w:r w:rsidRPr="00842485">
              <w:rPr>
                <w:rFonts w:ascii="Arial" w:hAnsi="Arial"/>
                <w:bCs/>
                <w:color w:val="4C4C4C"/>
              </w:rPr>
              <w:t xml:space="preserve">Project UK </w:t>
            </w:r>
            <w:r w:rsidR="00207C53" w:rsidRPr="0060120E">
              <w:rPr>
                <w:rFonts w:ascii="Arial" w:hAnsi="Arial"/>
                <w:bCs/>
                <w:color w:val="4C4C4C"/>
              </w:rPr>
              <w:t xml:space="preserve">Fisheries </w:t>
            </w:r>
            <w:r w:rsidR="00207C53">
              <w:rPr>
                <w:rFonts w:ascii="Arial" w:hAnsi="Arial"/>
                <w:bCs/>
                <w:color w:val="4C4C4C"/>
              </w:rPr>
              <w:t xml:space="preserve">Improvements </w:t>
            </w:r>
            <w:r w:rsidRPr="00842485">
              <w:rPr>
                <w:rFonts w:ascii="Arial" w:hAnsi="Arial"/>
                <w:bCs/>
                <w:color w:val="4C4C4C"/>
              </w:rPr>
              <w:t>(PUKFI)</w:t>
            </w:r>
          </w:p>
        </w:tc>
        <w:tc>
          <w:tcPr>
            <w:tcW w:w="4397" w:type="dxa"/>
            <w:tcBorders>
              <w:top w:val="single" w:sz="8" w:space="0" w:color="005DAA"/>
              <w:left w:val="single" w:sz="8" w:space="0" w:color="005DAA"/>
              <w:bottom w:val="single" w:sz="8" w:space="0" w:color="005DAA"/>
              <w:right w:val="single" w:sz="8" w:space="0" w:color="005DAA"/>
            </w:tcBorders>
            <w:shd w:val="solid" w:color="FFFFFF" w:fill="auto"/>
          </w:tcPr>
          <w:p w14:paraId="294A0ACD" w14:textId="77777777" w:rsidR="003C7BC7" w:rsidRPr="00842485" w:rsidRDefault="00F01E7A" w:rsidP="009E2C4D">
            <w:pPr>
              <w:spacing w:after="120"/>
              <w:rPr>
                <w:rFonts w:ascii="Arial" w:hAnsi="Arial"/>
                <w:b/>
                <w:color w:val="4C4C4C"/>
              </w:rPr>
            </w:pPr>
            <w:r w:rsidRPr="00842485">
              <w:rPr>
                <w:rFonts w:ascii="Arial" w:hAnsi="Arial"/>
                <w:b/>
                <w:color w:val="4C4C4C"/>
              </w:rPr>
              <w:t>Improvements recommended by:</w:t>
            </w:r>
          </w:p>
          <w:p w14:paraId="188D2CBF" w14:textId="77777777" w:rsidR="003C7BC7" w:rsidRPr="00842485" w:rsidRDefault="0060120E" w:rsidP="009E2C4D">
            <w:pPr>
              <w:spacing w:after="120"/>
              <w:rPr>
                <w:rFonts w:ascii="Arial" w:hAnsi="Arial"/>
                <w:color w:val="4C4C4C"/>
              </w:rPr>
            </w:pPr>
            <w:r w:rsidRPr="00842485">
              <w:rPr>
                <w:rFonts w:ascii="Arial" w:hAnsi="Arial"/>
                <w:color w:val="4C4C4C"/>
              </w:rPr>
              <w:t>Poseidon</w:t>
            </w:r>
          </w:p>
        </w:tc>
      </w:tr>
      <w:tr w:rsidR="00F01E7A" w:rsidRPr="00842485" w14:paraId="3A88522F" w14:textId="77777777" w:rsidTr="002E3AD3">
        <w:trPr>
          <w:trHeight w:val="1196"/>
        </w:trPr>
        <w:tc>
          <w:tcPr>
            <w:tcW w:w="0" w:type="auto"/>
            <w:gridSpan w:val="3"/>
            <w:tcBorders>
              <w:top w:val="single" w:sz="8" w:space="0" w:color="005DAA"/>
              <w:left w:val="single" w:sz="8" w:space="0" w:color="005DAA"/>
              <w:bottom w:val="single" w:sz="8" w:space="0" w:color="005DAA"/>
              <w:right w:val="single" w:sz="8" w:space="0" w:color="005DAA"/>
            </w:tcBorders>
            <w:shd w:val="solid" w:color="FFFFFF" w:fill="auto"/>
          </w:tcPr>
          <w:p w14:paraId="7239E8BA" w14:textId="77777777" w:rsidR="003C7BC7" w:rsidRPr="00842485" w:rsidRDefault="00C81114" w:rsidP="00210A62">
            <w:pPr>
              <w:rPr>
                <w:rFonts w:ascii="Arial" w:hAnsi="Arial"/>
                <w:b/>
                <w:bCs/>
                <w:color w:val="4C4C4C"/>
              </w:rPr>
            </w:pPr>
            <w:r w:rsidRPr="00842485">
              <w:rPr>
                <w:rFonts w:ascii="Arial" w:hAnsi="Arial"/>
                <w:b/>
                <w:bCs/>
                <w:color w:val="4C4C4C"/>
              </w:rPr>
              <w:t>Overview of the Action P</w:t>
            </w:r>
            <w:r w:rsidR="00F01E7A" w:rsidRPr="00842485">
              <w:rPr>
                <w:rFonts w:ascii="Arial" w:hAnsi="Arial"/>
                <w:b/>
                <w:bCs/>
                <w:color w:val="4C4C4C"/>
              </w:rPr>
              <w:t>lan</w:t>
            </w:r>
            <w:r w:rsidR="00E31398" w:rsidRPr="00842485">
              <w:rPr>
                <w:rFonts w:ascii="Arial" w:hAnsi="Arial"/>
                <w:b/>
                <w:bCs/>
                <w:color w:val="4C4C4C"/>
              </w:rPr>
              <w:t>:</w:t>
            </w:r>
          </w:p>
          <w:p w14:paraId="32A21CAF" w14:textId="77777777" w:rsidR="003C7BC7" w:rsidRPr="00842485" w:rsidRDefault="003C7BC7" w:rsidP="00E31398">
            <w:pPr>
              <w:spacing w:before="0"/>
              <w:rPr>
                <w:rFonts w:ascii="Arial" w:hAnsi="Arial"/>
                <w:b/>
                <w:bCs/>
                <w:color w:val="4C4C4C"/>
              </w:rPr>
            </w:pPr>
          </w:p>
          <w:p w14:paraId="10333BD2" w14:textId="77777777" w:rsidR="003457E7" w:rsidRPr="00842485" w:rsidRDefault="007556C1" w:rsidP="00E32812">
            <w:pPr>
              <w:spacing w:before="0"/>
              <w:rPr>
                <w:rFonts w:ascii="Arial" w:hAnsi="Arial"/>
                <w:bCs/>
                <w:color w:val="4C4C4C"/>
              </w:rPr>
            </w:pPr>
            <w:r w:rsidRPr="00842485">
              <w:rPr>
                <w:rFonts w:ascii="Arial" w:hAnsi="Arial"/>
                <w:bCs/>
                <w:color w:val="4C4C4C"/>
              </w:rPr>
              <w:t xml:space="preserve">Potting for edible crab </w:t>
            </w:r>
            <w:r w:rsidR="00A42558">
              <w:rPr>
                <w:rFonts w:ascii="Arial" w:hAnsi="Arial"/>
                <w:bCs/>
                <w:color w:val="4C4C4C"/>
              </w:rPr>
              <w:t xml:space="preserve">and lobster </w:t>
            </w:r>
            <w:r w:rsidRPr="00842485">
              <w:rPr>
                <w:rFonts w:ascii="Arial" w:hAnsi="Arial"/>
                <w:bCs/>
                <w:color w:val="4C4C4C"/>
              </w:rPr>
              <w:t xml:space="preserve">is mainly, but not exclusively, an inshore fishing activity undertaken throughout the SW of England.  </w:t>
            </w:r>
            <w:r w:rsidR="00272244" w:rsidRPr="00842485">
              <w:rPr>
                <w:rFonts w:ascii="Arial" w:hAnsi="Arial"/>
                <w:bCs/>
                <w:color w:val="4C4C4C"/>
              </w:rPr>
              <w:t>The pre-assessment considers that, w</w:t>
            </w:r>
            <w:r w:rsidR="00C95F35" w:rsidRPr="00842485">
              <w:rPr>
                <w:rFonts w:ascii="Arial" w:hAnsi="Arial"/>
                <w:bCs/>
                <w:color w:val="4C4C4C"/>
              </w:rPr>
              <w:t xml:space="preserve">hilst </w:t>
            </w:r>
            <w:r w:rsidR="00DD2E0B" w:rsidRPr="00842485">
              <w:rPr>
                <w:rFonts w:ascii="Arial" w:hAnsi="Arial"/>
                <w:bCs/>
                <w:color w:val="4C4C4C"/>
              </w:rPr>
              <w:t>there</w:t>
            </w:r>
            <w:r w:rsidR="00C95F35" w:rsidRPr="00842485">
              <w:rPr>
                <w:rFonts w:ascii="Arial" w:hAnsi="Arial"/>
                <w:bCs/>
                <w:color w:val="4C4C4C"/>
              </w:rPr>
              <w:t xml:space="preserve"> </w:t>
            </w:r>
            <w:r w:rsidR="00DD2E0B" w:rsidRPr="00842485">
              <w:rPr>
                <w:rFonts w:ascii="Arial" w:hAnsi="Arial"/>
                <w:bCs/>
                <w:color w:val="4C4C4C"/>
              </w:rPr>
              <w:t>are</w:t>
            </w:r>
            <w:r w:rsidR="00C95F35" w:rsidRPr="00842485">
              <w:rPr>
                <w:rFonts w:ascii="Arial" w:hAnsi="Arial"/>
                <w:bCs/>
                <w:color w:val="4C4C4C"/>
              </w:rPr>
              <w:t xml:space="preserve"> a number of </w:t>
            </w:r>
            <w:r w:rsidR="00DD2E0B" w:rsidRPr="00842485">
              <w:rPr>
                <w:rFonts w:ascii="Arial" w:hAnsi="Arial"/>
                <w:bCs/>
                <w:color w:val="4C4C4C"/>
              </w:rPr>
              <w:t>management</w:t>
            </w:r>
            <w:r w:rsidR="00C95F35" w:rsidRPr="00842485">
              <w:rPr>
                <w:rFonts w:ascii="Arial" w:hAnsi="Arial"/>
                <w:bCs/>
                <w:color w:val="4C4C4C"/>
              </w:rPr>
              <w:t xml:space="preserve"> measures already in place, including the </w:t>
            </w:r>
            <w:r w:rsidR="00DD2E0B" w:rsidRPr="00842485">
              <w:rPr>
                <w:rFonts w:ascii="Arial" w:hAnsi="Arial"/>
                <w:bCs/>
                <w:color w:val="4C4C4C"/>
              </w:rPr>
              <w:t>availability</w:t>
            </w:r>
            <w:r w:rsidR="00C95F35" w:rsidRPr="00842485">
              <w:rPr>
                <w:rFonts w:ascii="Arial" w:hAnsi="Arial"/>
                <w:bCs/>
                <w:color w:val="4C4C4C"/>
              </w:rPr>
              <w:t xml:space="preserve"> of stock status reference points, these do not form a </w:t>
            </w:r>
            <w:r w:rsidR="00DD2E0B" w:rsidRPr="00842485">
              <w:rPr>
                <w:rFonts w:ascii="Arial" w:hAnsi="Arial"/>
                <w:bCs/>
                <w:color w:val="4C4C4C"/>
              </w:rPr>
              <w:t>coherent, integrate</w:t>
            </w:r>
            <w:r w:rsidR="00C95F35" w:rsidRPr="00842485">
              <w:rPr>
                <w:rFonts w:ascii="Arial" w:hAnsi="Arial"/>
                <w:bCs/>
                <w:color w:val="4C4C4C"/>
              </w:rPr>
              <w:t xml:space="preserve">d harvest strategy.  The main P1 actions </w:t>
            </w:r>
            <w:r w:rsidR="00DD2E0B" w:rsidRPr="00842485">
              <w:rPr>
                <w:rFonts w:ascii="Arial" w:hAnsi="Arial"/>
                <w:bCs/>
                <w:color w:val="4C4C4C"/>
              </w:rPr>
              <w:t>therefore</w:t>
            </w:r>
            <w:r w:rsidR="00C95F35" w:rsidRPr="00842485">
              <w:rPr>
                <w:rFonts w:ascii="Arial" w:hAnsi="Arial"/>
                <w:bCs/>
                <w:color w:val="4C4C4C"/>
              </w:rPr>
              <w:t xml:space="preserve"> seek to address this, and further develop </w:t>
            </w:r>
            <w:r w:rsidR="00DD2E0B" w:rsidRPr="00842485">
              <w:rPr>
                <w:rFonts w:ascii="Arial" w:hAnsi="Arial"/>
                <w:bCs/>
                <w:color w:val="4C4C4C"/>
              </w:rPr>
              <w:t>adaptive</w:t>
            </w:r>
            <w:r w:rsidR="00C95F35" w:rsidRPr="00842485">
              <w:rPr>
                <w:rFonts w:ascii="Arial" w:hAnsi="Arial"/>
                <w:bCs/>
                <w:color w:val="4C4C4C"/>
              </w:rPr>
              <w:t xml:space="preserve"> management mechanisms that makes </w:t>
            </w:r>
            <w:r w:rsidR="00DD2E0B" w:rsidRPr="00842485">
              <w:rPr>
                <w:rFonts w:ascii="Arial" w:hAnsi="Arial"/>
                <w:bCs/>
                <w:color w:val="4C4C4C"/>
              </w:rPr>
              <w:t>management</w:t>
            </w:r>
            <w:r w:rsidR="00C95F35" w:rsidRPr="00842485">
              <w:rPr>
                <w:rFonts w:ascii="Arial" w:hAnsi="Arial"/>
                <w:bCs/>
                <w:color w:val="4C4C4C"/>
              </w:rPr>
              <w:t xml:space="preserve"> more </w:t>
            </w:r>
            <w:r w:rsidR="00D2275B" w:rsidRPr="00842485">
              <w:rPr>
                <w:rFonts w:ascii="Arial" w:hAnsi="Arial"/>
                <w:bCs/>
                <w:color w:val="4C4C4C"/>
              </w:rPr>
              <w:t>responsive</w:t>
            </w:r>
            <w:r w:rsidR="00C95F35" w:rsidRPr="00842485">
              <w:rPr>
                <w:rFonts w:ascii="Arial" w:hAnsi="Arial"/>
                <w:bCs/>
                <w:color w:val="4C4C4C"/>
              </w:rPr>
              <w:t xml:space="preserve"> to the </w:t>
            </w:r>
            <w:r w:rsidR="00DD2E0B" w:rsidRPr="00842485">
              <w:rPr>
                <w:rFonts w:ascii="Arial" w:hAnsi="Arial"/>
                <w:bCs/>
                <w:color w:val="4C4C4C"/>
              </w:rPr>
              <w:t>status</w:t>
            </w:r>
            <w:r w:rsidR="00C95F35" w:rsidRPr="00842485">
              <w:rPr>
                <w:rFonts w:ascii="Arial" w:hAnsi="Arial"/>
                <w:bCs/>
                <w:color w:val="4C4C4C"/>
              </w:rPr>
              <w:t xml:space="preserve"> of the stock.  </w:t>
            </w:r>
          </w:p>
          <w:p w14:paraId="188A9D64" w14:textId="77777777" w:rsidR="00C95F35" w:rsidRPr="00842485" w:rsidRDefault="00C95F35" w:rsidP="00E32812">
            <w:pPr>
              <w:spacing w:before="0"/>
              <w:rPr>
                <w:rFonts w:ascii="Arial" w:hAnsi="Arial"/>
                <w:bCs/>
                <w:color w:val="4C4C4C"/>
              </w:rPr>
            </w:pPr>
          </w:p>
          <w:p w14:paraId="18C4BE5A" w14:textId="77777777" w:rsidR="00C95F35" w:rsidRPr="00842485" w:rsidRDefault="00C95F35" w:rsidP="00E32812">
            <w:pPr>
              <w:spacing w:before="0"/>
              <w:rPr>
                <w:rFonts w:ascii="Arial" w:hAnsi="Arial"/>
                <w:bCs/>
                <w:color w:val="4C4C4C"/>
              </w:rPr>
            </w:pPr>
            <w:r w:rsidRPr="00842485">
              <w:rPr>
                <w:rFonts w:ascii="Arial" w:hAnsi="Arial"/>
                <w:bCs/>
                <w:color w:val="4C4C4C"/>
              </w:rPr>
              <w:t xml:space="preserve">Whilst no PIs failed under the P2 assessment, many would likely attract conditions.  The Action Plan addresses this through a review of alternative management measures to minimise UoA-related mortality of all non-target primary and secondary species caught by this fishery, as well as </w:t>
            </w:r>
            <w:r w:rsidR="00DD2E0B" w:rsidRPr="00842485">
              <w:rPr>
                <w:rFonts w:ascii="Arial" w:hAnsi="Arial"/>
                <w:bCs/>
                <w:color w:val="4C4C4C"/>
              </w:rPr>
              <w:t>bolstering</w:t>
            </w:r>
            <w:r w:rsidRPr="00842485">
              <w:rPr>
                <w:rFonts w:ascii="Arial" w:hAnsi="Arial"/>
                <w:bCs/>
                <w:color w:val="4C4C4C"/>
              </w:rPr>
              <w:t xml:space="preserve"> current monitoring and research to ensure there is </w:t>
            </w:r>
            <w:r w:rsidR="00DD2E0B" w:rsidRPr="00842485">
              <w:rPr>
                <w:rFonts w:ascii="Arial" w:hAnsi="Arial"/>
                <w:bCs/>
                <w:color w:val="4C4C4C"/>
              </w:rPr>
              <w:t>sufficient</w:t>
            </w:r>
            <w:r w:rsidRPr="00842485">
              <w:rPr>
                <w:rFonts w:ascii="Arial" w:hAnsi="Arial"/>
                <w:bCs/>
                <w:color w:val="4C4C4C"/>
              </w:rPr>
              <w:t xml:space="preserve"> information on which to base </w:t>
            </w:r>
            <w:r w:rsidR="00DD2E0B" w:rsidRPr="00842485">
              <w:rPr>
                <w:rFonts w:ascii="Arial" w:hAnsi="Arial"/>
                <w:bCs/>
                <w:color w:val="4C4C4C"/>
              </w:rPr>
              <w:t>management</w:t>
            </w:r>
            <w:r w:rsidRPr="00842485">
              <w:rPr>
                <w:rFonts w:ascii="Arial" w:hAnsi="Arial"/>
                <w:bCs/>
                <w:color w:val="4C4C4C"/>
              </w:rPr>
              <w:t xml:space="preserve"> changes.  Although it is unlikely that this fishery will have a </w:t>
            </w:r>
            <w:r w:rsidR="00DD2E0B" w:rsidRPr="00842485">
              <w:rPr>
                <w:rFonts w:ascii="Arial" w:hAnsi="Arial"/>
                <w:bCs/>
                <w:color w:val="4C4C4C"/>
              </w:rPr>
              <w:t>significant</w:t>
            </w:r>
            <w:r w:rsidRPr="00842485">
              <w:rPr>
                <w:rFonts w:ascii="Arial" w:hAnsi="Arial"/>
                <w:bCs/>
                <w:color w:val="4C4C4C"/>
              </w:rPr>
              <w:t xml:space="preserve"> impact on ETPs, it is suggested that appropriate management measures need to be considered where necessary.  This needs to be embedded in an on-going, risk-based ETP impact monitoring system.</w:t>
            </w:r>
          </w:p>
          <w:p w14:paraId="4EC73EF0" w14:textId="77777777" w:rsidR="00C95F35" w:rsidRPr="00842485" w:rsidRDefault="00C95F35" w:rsidP="00E32812">
            <w:pPr>
              <w:spacing w:before="0"/>
              <w:rPr>
                <w:rFonts w:ascii="Arial" w:hAnsi="Arial"/>
                <w:bCs/>
                <w:color w:val="4C4C4C"/>
              </w:rPr>
            </w:pPr>
          </w:p>
          <w:p w14:paraId="4CC65886" w14:textId="2C8F783F" w:rsidR="00C95F35" w:rsidRDefault="00C95F35" w:rsidP="00E32812">
            <w:pPr>
              <w:spacing w:before="0"/>
              <w:rPr>
                <w:rFonts w:ascii="Arial" w:hAnsi="Arial"/>
                <w:bCs/>
                <w:color w:val="4C4C4C"/>
              </w:rPr>
            </w:pPr>
            <w:r w:rsidRPr="00842485">
              <w:rPr>
                <w:rFonts w:ascii="Arial" w:hAnsi="Arial"/>
                <w:bCs/>
                <w:color w:val="4C4C4C"/>
              </w:rPr>
              <w:t xml:space="preserve">The governance and </w:t>
            </w:r>
            <w:r w:rsidR="00DD2E0B" w:rsidRPr="00842485">
              <w:rPr>
                <w:rFonts w:ascii="Arial" w:hAnsi="Arial"/>
                <w:bCs/>
                <w:color w:val="4C4C4C"/>
              </w:rPr>
              <w:t>fisheries</w:t>
            </w:r>
            <w:r w:rsidRPr="00842485">
              <w:rPr>
                <w:rFonts w:ascii="Arial" w:hAnsi="Arial"/>
                <w:bCs/>
                <w:color w:val="4C4C4C"/>
              </w:rPr>
              <w:t>-specific management under P3 scored w</w:t>
            </w:r>
            <w:r w:rsidR="0035214B" w:rsidRPr="00842485">
              <w:rPr>
                <w:rFonts w:ascii="Arial" w:hAnsi="Arial"/>
                <w:bCs/>
                <w:color w:val="4C4C4C"/>
              </w:rPr>
              <w:t>e</w:t>
            </w:r>
            <w:r w:rsidRPr="00842485">
              <w:rPr>
                <w:rFonts w:ascii="Arial" w:hAnsi="Arial"/>
                <w:bCs/>
                <w:color w:val="4C4C4C"/>
              </w:rPr>
              <w:t>ll in the pre-assessment.  The only action proposed is the</w:t>
            </w:r>
            <w:r w:rsidR="00DD2E0B" w:rsidRPr="00842485">
              <w:rPr>
                <w:rFonts w:ascii="Arial" w:hAnsi="Arial"/>
                <w:bCs/>
                <w:color w:val="4C4C4C"/>
              </w:rPr>
              <w:t xml:space="preserve"> </w:t>
            </w:r>
            <w:r w:rsidRPr="00842485">
              <w:rPr>
                <w:rFonts w:ascii="Arial" w:hAnsi="Arial"/>
                <w:bCs/>
                <w:color w:val="4C4C4C"/>
              </w:rPr>
              <w:t xml:space="preserve">wider discussion and agreement of management needs and objectives with trans-boundary management authorities e.g. across IFCAs and </w:t>
            </w:r>
            <w:r w:rsidR="00A42558">
              <w:rPr>
                <w:rFonts w:ascii="Arial" w:hAnsi="Arial"/>
                <w:bCs/>
                <w:color w:val="4C4C4C"/>
              </w:rPr>
              <w:t xml:space="preserve">(in the case of lobster), </w:t>
            </w:r>
            <w:r w:rsidRPr="00842485">
              <w:rPr>
                <w:rFonts w:ascii="Arial" w:hAnsi="Arial"/>
                <w:bCs/>
                <w:color w:val="4C4C4C"/>
              </w:rPr>
              <w:t xml:space="preserve">with </w:t>
            </w:r>
            <w:r w:rsidR="00A42558">
              <w:rPr>
                <w:rFonts w:ascii="Arial" w:hAnsi="Arial"/>
                <w:bCs/>
                <w:color w:val="4C4C4C"/>
              </w:rPr>
              <w:t xml:space="preserve">the </w:t>
            </w:r>
            <w:r w:rsidRPr="00842485">
              <w:rPr>
                <w:rFonts w:ascii="Arial" w:hAnsi="Arial"/>
                <w:bCs/>
                <w:color w:val="4C4C4C"/>
              </w:rPr>
              <w:t>French and Irish MAs.</w:t>
            </w:r>
          </w:p>
          <w:p w14:paraId="1704CD56" w14:textId="77777777" w:rsidR="004F233E" w:rsidRDefault="004F233E" w:rsidP="00E32812">
            <w:pPr>
              <w:spacing w:before="0"/>
              <w:rPr>
                <w:rFonts w:ascii="Arial" w:hAnsi="Arial"/>
                <w:bCs/>
                <w:color w:val="4C4C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1370"/>
              <w:gridCol w:w="1370"/>
              <w:gridCol w:w="1370"/>
            </w:tblGrid>
            <w:tr w:rsidR="004F233E" w14:paraId="774F7896" w14:textId="77777777" w:rsidTr="004F233E">
              <w:tc>
                <w:tcPr>
                  <w:tcW w:w="3334" w:type="dxa"/>
                </w:tcPr>
                <w:p w14:paraId="4B1C94BE" w14:textId="4257F8F8" w:rsidR="004F233E" w:rsidRPr="004F233E" w:rsidRDefault="004F233E" w:rsidP="00E32812">
                  <w:pPr>
                    <w:spacing w:before="0"/>
                    <w:rPr>
                      <w:rFonts w:ascii="Arial" w:hAnsi="Arial"/>
                      <w:b/>
                      <w:bCs/>
                      <w:color w:val="4C4C4C"/>
                    </w:rPr>
                  </w:pPr>
                  <w:r w:rsidRPr="004F233E">
                    <w:rPr>
                      <w:rFonts w:ascii="Arial" w:hAnsi="Arial"/>
                      <w:b/>
                      <w:bCs/>
                      <w:color w:val="4C4C4C"/>
                    </w:rPr>
                    <w:t>Colour code in tables below:</w:t>
                  </w:r>
                </w:p>
              </w:tc>
              <w:tc>
                <w:tcPr>
                  <w:tcW w:w="1370" w:type="dxa"/>
                  <w:shd w:val="clear" w:color="auto" w:fill="DEEAF6" w:themeFill="accent5" w:themeFillTint="33"/>
                </w:tcPr>
                <w:p w14:paraId="228328B3" w14:textId="1BD96B7A" w:rsidR="004F233E" w:rsidRDefault="004F233E" w:rsidP="00E32812">
                  <w:pPr>
                    <w:spacing w:before="0"/>
                    <w:rPr>
                      <w:rFonts w:ascii="Arial" w:hAnsi="Arial"/>
                      <w:bCs/>
                      <w:color w:val="4C4C4C"/>
                    </w:rPr>
                  </w:pPr>
                  <w:r>
                    <w:rPr>
                      <w:rFonts w:ascii="Arial" w:hAnsi="Arial"/>
                      <w:bCs/>
                      <w:color w:val="4C4C4C"/>
                    </w:rPr>
                    <w:t>Principle 1</w:t>
                  </w:r>
                </w:p>
              </w:tc>
              <w:tc>
                <w:tcPr>
                  <w:tcW w:w="1370" w:type="dxa"/>
                  <w:shd w:val="clear" w:color="auto" w:fill="E2EFD9" w:themeFill="accent6" w:themeFillTint="33"/>
                </w:tcPr>
                <w:p w14:paraId="1CBD0F2E" w14:textId="47130371" w:rsidR="004F233E" w:rsidRDefault="004F233E" w:rsidP="00E32812">
                  <w:pPr>
                    <w:spacing w:before="0"/>
                    <w:rPr>
                      <w:rFonts w:ascii="Arial" w:hAnsi="Arial"/>
                      <w:bCs/>
                      <w:color w:val="4C4C4C"/>
                    </w:rPr>
                  </w:pPr>
                  <w:r>
                    <w:rPr>
                      <w:rFonts w:ascii="Arial" w:hAnsi="Arial"/>
                      <w:bCs/>
                      <w:color w:val="4C4C4C"/>
                    </w:rPr>
                    <w:t>Principle 2</w:t>
                  </w:r>
                </w:p>
              </w:tc>
              <w:tc>
                <w:tcPr>
                  <w:tcW w:w="1370" w:type="dxa"/>
                  <w:shd w:val="clear" w:color="auto" w:fill="FFF2CC" w:themeFill="accent4" w:themeFillTint="33"/>
                </w:tcPr>
                <w:p w14:paraId="1BFC1B60" w14:textId="77C386AA" w:rsidR="004F233E" w:rsidRDefault="004F233E" w:rsidP="00E32812">
                  <w:pPr>
                    <w:spacing w:before="0"/>
                    <w:rPr>
                      <w:rFonts w:ascii="Arial" w:hAnsi="Arial"/>
                      <w:bCs/>
                      <w:color w:val="4C4C4C"/>
                    </w:rPr>
                  </w:pPr>
                  <w:r>
                    <w:rPr>
                      <w:rFonts w:ascii="Arial" w:hAnsi="Arial"/>
                      <w:bCs/>
                      <w:color w:val="4C4C4C"/>
                    </w:rPr>
                    <w:t>Principle 3</w:t>
                  </w:r>
                </w:p>
              </w:tc>
            </w:tr>
          </w:tbl>
          <w:p w14:paraId="222758DF" w14:textId="77777777" w:rsidR="004F233E" w:rsidRPr="00842485" w:rsidRDefault="004F233E" w:rsidP="00E32812">
            <w:pPr>
              <w:spacing w:before="0"/>
              <w:rPr>
                <w:rFonts w:ascii="Arial" w:hAnsi="Arial"/>
                <w:bCs/>
                <w:color w:val="4C4C4C"/>
              </w:rPr>
            </w:pPr>
          </w:p>
          <w:p w14:paraId="703EF6A0" w14:textId="77777777" w:rsidR="003C7BC7" w:rsidRPr="00842485" w:rsidRDefault="003C7BC7" w:rsidP="00A42558">
            <w:pPr>
              <w:spacing w:before="0"/>
              <w:rPr>
                <w:rFonts w:ascii="Arial" w:hAnsi="Arial"/>
                <w:b/>
                <w:bCs/>
                <w:color w:val="4C4C4C"/>
              </w:rPr>
            </w:pPr>
          </w:p>
        </w:tc>
      </w:tr>
    </w:tbl>
    <w:p w14:paraId="1AC5AADF" w14:textId="77777777" w:rsidR="003C7BC7" w:rsidRPr="00842485" w:rsidRDefault="003C7BC7" w:rsidP="009E2C4D">
      <w:pPr>
        <w:rPr>
          <w:rFonts w:ascii="Arial" w:hAnsi="Arial"/>
          <w:b/>
          <w:color w:val="4C4C4C"/>
          <w:sz w:val="24"/>
          <w:szCs w:val="24"/>
        </w:rPr>
      </w:pPr>
    </w:p>
    <w:p w14:paraId="2C38DFAA" w14:textId="77777777" w:rsidR="003C7BC7" w:rsidRPr="00842485" w:rsidRDefault="003C7BC7" w:rsidP="00C67E16">
      <w:pPr>
        <w:pageBreakBefore/>
        <w:spacing w:before="0" w:after="120"/>
        <w:rPr>
          <w:rFonts w:ascii="Arial" w:hAnsi="Arial"/>
          <w:b/>
          <w:color w:val="4C4C4C"/>
          <w:sz w:val="24"/>
          <w:szCs w:val="24"/>
        </w:rPr>
      </w:pPr>
      <w:r w:rsidRPr="00842485">
        <w:rPr>
          <w:rFonts w:ascii="Arial" w:hAnsi="Arial"/>
          <w:b/>
          <w:color w:val="4C4C4C"/>
          <w:sz w:val="24"/>
          <w:szCs w:val="24"/>
        </w:rPr>
        <w:lastRenderedPageBreak/>
        <w:t xml:space="preserve">Table 2: Action Plan </w:t>
      </w:r>
      <w:r w:rsidR="00653DA6" w:rsidRPr="00842485">
        <w:rPr>
          <w:rFonts w:ascii="Arial" w:hAnsi="Arial"/>
          <w:b/>
          <w:color w:val="4C4C4C"/>
          <w:sz w:val="24"/>
          <w:szCs w:val="24"/>
        </w:rPr>
        <w:t>d</w:t>
      </w:r>
      <w:r w:rsidRPr="00842485">
        <w:rPr>
          <w:rFonts w:ascii="Arial" w:hAnsi="Arial"/>
          <w:b/>
          <w:color w:val="4C4C4C"/>
          <w:sz w:val="24"/>
          <w:szCs w:val="24"/>
        </w:rPr>
        <w:t>etails</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717"/>
        <w:gridCol w:w="2552"/>
        <w:gridCol w:w="2126"/>
        <w:gridCol w:w="1559"/>
        <w:gridCol w:w="2127"/>
        <w:gridCol w:w="1134"/>
        <w:gridCol w:w="3263"/>
      </w:tblGrid>
      <w:tr w:rsidR="00787F64" w:rsidRPr="00842485" w14:paraId="5DB08B43" w14:textId="77777777" w:rsidTr="00410074">
        <w:trPr>
          <w:cantSplit/>
          <w:tblHeader/>
        </w:trPr>
        <w:tc>
          <w:tcPr>
            <w:tcW w:w="2717" w:type="dxa"/>
            <w:tcBorders>
              <w:top w:val="single" w:sz="8" w:space="0" w:color="005DAA"/>
              <w:left w:val="single" w:sz="8" w:space="0" w:color="005DAA"/>
              <w:bottom w:val="single" w:sz="8" w:space="0" w:color="005DAA"/>
              <w:right w:val="nil"/>
            </w:tcBorders>
            <w:shd w:val="solid" w:color="005DAA" w:fill="4F81BD"/>
            <w:vAlign w:val="center"/>
          </w:tcPr>
          <w:p w14:paraId="1CE94E82" w14:textId="77777777" w:rsidR="00F01E7A" w:rsidRPr="00842485" w:rsidRDefault="00F01E7A" w:rsidP="00DB4EFE">
            <w:pPr>
              <w:spacing w:before="80" w:after="80"/>
              <w:rPr>
                <w:rFonts w:ascii="Arial" w:hAnsi="Arial"/>
                <w:b/>
                <w:bCs/>
                <w:color w:val="FFFFFF"/>
              </w:rPr>
            </w:pPr>
            <w:r w:rsidRPr="00842485">
              <w:rPr>
                <w:rFonts w:ascii="Arial" w:hAnsi="Arial"/>
                <w:b/>
                <w:bCs/>
                <w:color w:val="FFFFFF"/>
              </w:rPr>
              <w:t>Standard requirement</w:t>
            </w:r>
          </w:p>
        </w:tc>
        <w:tc>
          <w:tcPr>
            <w:tcW w:w="2552" w:type="dxa"/>
            <w:tcBorders>
              <w:top w:val="single" w:sz="8" w:space="0" w:color="005DAA"/>
              <w:left w:val="nil"/>
              <w:bottom w:val="single" w:sz="8" w:space="0" w:color="005DAA"/>
              <w:right w:val="nil"/>
            </w:tcBorders>
            <w:shd w:val="solid" w:color="005DAA" w:fill="4F81BD"/>
            <w:vAlign w:val="center"/>
          </w:tcPr>
          <w:p w14:paraId="3D758B39" w14:textId="77777777" w:rsidR="00F01E7A" w:rsidRPr="00842485" w:rsidRDefault="00F01E7A" w:rsidP="00DB4EFE">
            <w:pPr>
              <w:spacing w:before="80" w:after="80"/>
              <w:jc w:val="center"/>
              <w:rPr>
                <w:rFonts w:ascii="Arial" w:hAnsi="Arial"/>
                <w:b/>
                <w:bCs/>
                <w:color w:val="FFFFFF"/>
              </w:rPr>
            </w:pPr>
            <w:r w:rsidRPr="00842485">
              <w:rPr>
                <w:rFonts w:ascii="Arial" w:hAnsi="Arial"/>
                <w:b/>
                <w:bCs/>
                <w:color w:val="FFFFFF"/>
              </w:rPr>
              <w:t>Actions</w:t>
            </w:r>
          </w:p>
        </w:tc>
        <w:tc>
          <w:tcPr>
            <w:tcW w:w="2126" w:type="dxa"/>
            <w:tcBorders>
              <w:top w:val="single" w:sz="8" w:space="0" w:color="005DAA"/>
              <w:left w:val="nil"/>
              <w:bottom w:val="single" w:sz="8" w:space="0" w:color="005DAA"/>
              <w:right w:val="nil"/>
            </w:tcBorders>
            <w:shd w:val="solid" w:color="005DAA" w:fill="4F81BD"/>
            <w:vAlign w:val="center"/>
          </w:tcPr>
          <w:p w14:paraId="616AD3CF" w14:textId="77777777" w:rsidR="00F01E7A" w:rsidRPr="00842485" w:rsidRDefault="00F01E7A" w:rsidP="00DB4EFE">
            <w:pPr>
              <w:spacing w:before="80" w:after="80"/>
              <w:jc w:val="center"/>
              <w:rPr>
                <w:rFonts w:ascii="Arial" w:hAnsi="Arial"/>
                <w:b/>
                <w:bCs/>
                <w:color w:val="FFFFFF"/>
              </w:rPr>
            </w:pPr>
            <w:r w:rsidRPr="00842485">
              <w:rPr>
                <w:rFonts w:ascii="Arial" w:hAnsi="Arial"/>
                <w:b/>
                <w:bCs/>
                <w:color w:val="FFFFFF"/>
              </w:rPr>
              <w:t>Resources required</w:t>
            </w:r>
          </w:p>
        </w:tc>
        <w:tc>
          <w:tcPr>
            <w:tcW w:w="1559" w:type="dxa"/>
            <w:tcBorders>
              <w:top w:val="single" w:sz="8" w:space="0" w:color="005DAA"/>
              <w:left w:val="nil"/>
              <w:bottom w:val="single" w:sz="8" w:space="0" w:color="005DAA"/>
              <w:right w:val="nil"/>
            </w:tcBorders>
            <w:shd w:val="solid" w:color="005DAA" w:fill="4F81BD"/>
            <w:vAlign w:val="center"/>
          </w:tcPr>
          <w:p w14:paraId="5A4C9EB0" w14:textId="77777777" w:rsidR="00F01E7A" w:rsidRPr="00842485" w:rsidRDefault="00F01E7A" w:rsidP="00DB4EFE">
            <w:pPr>
              <w:spacing w:before="80" w:after="80"/>
              <w:jc w:val="center"/>
              <w:rPr>
                <w:rFonts w:ascii="Arial" w:hAnsi="Arial"/>
                <w:b/>
                <w:bCs/>
                <w:color w:val="FFFFFF"/>
              </w:rPr>
            </w:pPr>
            <w:r w:rsidRPr="00842485">
              <w:rPr>
                <w:rFonts w:ascii="Arial" w:hAnsi="Arial"/>
                <w:b/>
                <w:bCs/>
                <w:color w:val="FFFFFF"/>
              </w:rPr>
              <w:t>Action</w:t>
            </w:r>
            <w:r w:rsidR="00745463" w:rsidRPr="00842485">
              <w:rPr>
                <w:rFonts w:ascii="Arial" w:hAnsi="Arial"/>
                <w:b/>
                <w:bCs/>
                <w:color w:val="FFFFFF"/>
              </w:rPr>
              <w:t xml:space="preserve"> </w:t>
            </w:r>
            <w:r w:rsidR="00653DA6" w:rsidRPr="00842485">
              <w:rPr>
                <w:rFonts w:ascii="Arial" w:hAnsi="Arial"/>
                <w:b/>
                <w:bCs/>
                <w:color w:val="FFFFFF"/>
              </w:rPr>
              <w:t>l</w:t>
            </w:r>
            <w:r w:rsidRPr="00842485">
              <w:rPr>
                <w:rFonts w:ascii="Arial" w:hAnsi="Arial"/>
                <w:b/>
                <w:bCs/>
                <w:color w:val="FFFFFF"/>
              </w:rPr>
              <w:t>ead</w:t>
            </w:r>
          </w:p>
        </w:tc>
        <w:tc>
          <w:tcPr>
            <w:tcW w:w="2127" w:type="dxa"/>
            <w:tcBorders>
              <w:top w:val="single" w:sz="8" w:space="0" w:color="005DAA"/>
              <w:left w:val="nil"/>
              <w:bottom w:val="single" w:sz="8" w:space="0" w:color="005DAA"/>
              <w:right w:val="nil"/>
            </w:tcBorders>
            <w:shd w:val="solid" w:color="005DAA" w:fill="4F81BD"/>
            <w:vAlign w:val="center"/>
          </w:tcPr>
          <w:p w14:paraId="4870B4C2" w14:textId="77777777" w:rsidR="00F01E7A" w:rsidRPr="00842485" w:rsidRDefault="00745463" w:rsidP="00DB4EFE">
            <w:pPr>
              <w:spacing w:before="80" w:after="80"/>
              <w:jc w:val="center"/>
              <w:rPr>
                <w:rFonts w:ascii="Arial" w:hAnsi="Arial"/>
                <w:b/>
                <w:bCs/>
                <w:color w:val="FFFFFF"/>
              </w:rPr>
            </w:pPr>
            <w:r w:rsidRPr="00842485">
              <w:rPr>
                <w:rFonts w:ascii="Arial" w:hAnsi="Arial"/>
                <w:b/>
                <w:bCs/>
                <w:color w:val="FFFFFF"/>
              </w:rPr>
              <w:t xml:space="preserve">Action </w:t>
            </w:r>
            <w:r w:rsidR="00F01E7A" w:rsidRPr="00842485">
              <w:rPr>
                <w:rFonts w:ascii="Arial" w:hAnsi="Arial"/>
                <w:b/>
                <w:bCs/>
                <w:color w:val="FFFFFF"/>
              </w:rPr>
              <w:t>partners</w:t>
            </w:r>
          </w:p>
        </w:tc>
        <w:tc>
          <w:tcPr>
            <w:tcW w:w="1134" w:type="dxa"/>
            <w:tcBorders>
              <w:top w:val="single" w:sz="8" w:space="0" w:color="005DAA"/>
              <w:left w:val="nil"/>
              <w:bottom w:val="single" w:sz="8" w:space="0" w:color="005DAA"/>
              <w:right w:val="nil"/>
            </w:tcBorders>
            <w:shd w:val="solid" w:color="005DAA" w:fill="4F81BD"/>
            <w:vAlign w:val="center"/>
          </w:tcPr>
          <w:p w14:paraId="26D342C1" w14:textId="77777777" w:rsidR="00F01E7A" w:rsidRPr="00842485" w:rsidRDefault="00F01E7A" w:rsidP="00DB4EFE">
            <w:pPr>
              <w:spacing w:before="80" w:after="80"/>
              <w:jc w:val="center"/>
              <w:rPr>
                <w:rFonts w:ascii="Arial" w:hAnsi="Arial"/>
                <w:b/>
                <w:bCs/>
                <w:color w:val="FFFFFF"/>
              </w:rPr>
            </w:pPr>
            <w:r w:rsidRPr="00842485">
              <w:rPr>
                <w:rFonts w:ascii="Arial" w:hAnsi="Arial"/>
                <w:b/>
                <w:bCs/>
                <w:color w:val="FFFFFF"/>
              </w:rPr>
              <w:t>Stake</w:t>
            </w:r>
            <w:r w:rsidR="008F402D" w:rsidRPr="00842485">
              <w:rPr>
                <w:rFonts w:ascii="Arial" w:hAnsi="Arial"/>
                <w:b/>
                <w:bCs/>
                <w:color w:val="FFFFFF"/>
              </w:rPr>
              <w:t>-</w:t>
            </w:r>
            <w:r w:rsidRPr="00842485">
              <w:rPr>
                <w:rFonts w:ascii="Arial" w:hAnsi="Arial"/>
                <w:b/>
                <w:bCs/>
                <w:color w:val="FFFFFF"/>
              </w:rPr>
              <w:t>holders</w:t>
            </w:r>
          </w:p>
        </w:tc>
        <w:tc>
          <w:tcPr>
            <w:tcW w:w="3263" w:type="dxa"/>
            <w:tcBorders>
              <w:top w:val="single" w:sz="8" w:space="0" w:color="005DAA"/>
              <w:left w:val="nil"/>
              <w:bottom w:val="single" w:sz="8" w:space="0" w:color="005DAA"/>
              <w:right w:val="single" w:sz="8" w:space="0" w:color="005DAA"/>
            </w:tcBorders>
            <w:shd w:val="solid" w:color="005DAA" w:fill="4F81BD"/>
            <w:vAlign w:val="center"/>
          </w:tcPr>
          <w:p w14:paraId="11B4BC82" w14:textId="77777777" w:rsidR="00F01E7A" w:rsidRPr="00842485" w:rsidRDefault="00F01E7A" w:rsidP="00DB4EFE">
            <w:pPr>
              <w:spacing w:before="80" w:after="80"/>
              <w:jc w:val="center"/>
              <w:rPr>
                <w:rFonts w:ascii="Arial" w:hAnsi="Arial"/>
                <w:b/>
                <w:bCs/>
                <w:color w:val="FFFFFF"/>
              </w:rPr>
            </w:pPr>
            <w:r w:rsidRPr="00842485">
              <w:rPr>
                <w:rFonts w:ascii="Arial" w:hAnsi="Arial"/>
                <w:b/>
                <w:bCs/>
                <w:color w:val="FFFFFF"/>
              </w:rPr>
              <w:t>Timescale / milestones</w:t>
            </w:r>
          </w:p>
        </w:tc>
      </w:tr>
      <w:tr w:rsidR="00830DD0" w:rsidRPr="00842485" w14:paraId="026B01ED"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D9E2F3" w:themeFill="accent1" w:themeFillTint="33"/>
          </w:tcPr>
          <w:p w14:paraId="58DB607B" w14:textId="77777777" w:rsidR="00830DD0" w:rsidRPr="00842485" w:rsidRDefault="00830DD0" w:rsidP="00410074">
            <w:pPr>
              <w:pStyle w:val="ListParagraph"/>
            </w:pPr>
            <w:r w:rsidRPr="00842485">
              <w:t>1.2.1 Harvest strategy</w:t>
            </w:r>
          </w:p>
          <w:p w14:paraId="73113209"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 xml:space="preserve">The harvest strategy is responsive to the state of the stock and the elements of the harvest strategy work together towards achieving stock management objectives reflected in PI 1.1.1.  There should also be a review of alternative measures.  </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75B97DED"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 xml:space="preserve">The current management measures and stock reference points need to be formulated into a coherent harvest strategy that include adaptive management measures where appropriate.  This strategy would cover the UoA, thus spanning the </w:t>
            </w:r>
            <w:r w:rsidR="00F634C2">
              <w:rPr>
                <w:rFonts w:ascii="Arial" w:hAnsi="Arial" w:cs="Arial"/>
                <w:sz w:val="20"/>
                <w:szCs w:val="20"/>
              </w:rPr>
              <w:t xml:space="preserve">inshore (&lt;6 nm) </w:t>
            </w:r>
            <w:r w:rsidRPr="00842485">
              <w:rPr>
                <w:rFonts w:ascii="Arial" w:hAnsi="Arial" w:cs="Arial"/>
                <w:sz w:val="20"/>
                <w:szCs w:val="20"/>
              </w:rPr>
              <w:t xml:space="preserve">IFCA </w:t>
            </w:r>
            <w:r w:rsidR="00F634C2">
              <w:rPr>
                <w:rFonts w:ascii="Arial" w:hAnsi="Arial" w:cs="Arial"/>
                <w:sz w:val="20"/>
                <w:szCs w:val="20"/>
              </w:rPr>
              <w:t>managed areas and offshore areas under national management.</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6820D446"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Fisheries management expertise</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65AB4993" w14:textId="77777777" w:rsidR="00830DD0" w:rsidRDefault="00225DA4" w:rsidP="00830DD0">
            <w:pPr>
              <w:spacing w:before="40" w:after="40"/>
              <w:rPr>
                <w:rFonts w:ascii="Arial" w:hAnsi="Arial" w:cs="Arial"/>
                <w:sz w:val="20"/>
                <w:szCs w:val="20"/>
              </w:rPr>
            </w:pPr>
            <w:r>
              <w:rPr>
                <w:rFonts w:ascii="Arial" w:hAnsi="Arial" w:cs="Arial"/>
                <w:sz w:val="20"/>
                <w:szCs w:val="20"/>
              </w:rPr>
              <w:t>CEFAS</w:t>
            </w:r>
          </w:p>
          <w:p w14:paraId="68AF4F5E" w14:textId="77777777" w:rsidR="00C16CA1" w:rsidRDefault="00C16CA1" w:rsidP="00C16CA1">
            <w:pPr>
              <w:spacing w:before="40" w:after="40"/>
              <w:rPr>
                <w:rFonts w:ascii="Arial" w:hAnsi="Arial" w:cs="Arial"/>
                <w:sz w:val="20"/>
                <w:szCs w:val="20"/>
              </w:rPr>
            </w:pPr>
            <w:r>
              <w:rPr>
                <w:rFonts w:ascii="Arial" w:hAnsi="Arial" w:cs="Arial"/>
                <w:sz w:val="20"/>
                <w:szCs w:val="20"/>
              </w:rPr>
              <w:t>&amp; Industry as represented by Beshlie Pool</w:t>
            </w:r>
          </w:p>
          <w:p w14:paraId="2884C994" w14:textId="77777777" w:rsidR="00C16CA1" w:rsidRDefault="00C16CA1" w:rsidP="00C16CA1">
            <w:pPr>
              <w:spacing w:before="40" w:after="40"/>
              <w:rPr>
                <w:rFonts w:ascii="Arial" w:hAnsi="Arial" w:cs="Arial"/>
                <w:sz w:val="20"/>
                <w:szCs w:val="20"/>
              </w:rPr>
            </w:pPr>
          </w:p>
          <w:p w14:paraId="4E7C5FEA" w14:textId="0935F2FC" w:rsidR="00C16CA1" w:rsidRPr="00842485" w:rsidRDefault="00C16CA1" w:rsidP="00C16CA1">
            <w:pPr>
              <w:spacing w:before="40" w:after="40"/>
              <w:rPr>
                <w:rFonts w:ascii="Arial" w:hAnsi="Arial" w:cs="Arial"/>
                <w:sz w:val="20"/>
                <w:szCs w:val="20"/>
              </w:rPr>
            </w:pPr>
            <w:r>
              <w:rPr>
                <w:rFonts w:ascii="Arial" w:hAnsi="Arial" w:cs="Arial"/>
                <w:sz w:val="20"/>
                <w:szCs w:val="20"/>
              </w:rPr>
              <w:t>MSC &amp; Seafish to work on finding funding</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14786FB9" w14:textId="77777777" w:rsidR="005200E2" w:rsidRPr="00842485" w:rsidRDefault="00F634C2" w:rsidP="00830DD0">
            <w:pPr>
              <w:spacing w:before="40" w:after="40"/>
              <w:rPr>
                <w:rFonts w:ascii="Arial" w:hAnsi="Arial" w:cs="Arial"/>
                <w:sz w:val="20"/>
                <w:szCs w:val="20"/>
              </w:rPr>
            </w:pPr>
            <w:r>
              <w:rPr>
                <w:rFonts w:ascii="Arial" w:hAnsi="Arial" w:cs="Arial"/>
                <w:sz w:val="20"/>
                <w:szCs w:val="20"/>
              </w:rPr>
              <w:t>Industry</w:t>
            </w:r>
          </w:p>
          <w:p w14:paraId="6B62CC45" w14:textId="3DDB3392"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IFCAs</w:t>
            </w:r>
            <w:r w:rsidR="00C16CA1">
              <w:rPr>
                <w:rFonts w:ascii="Arial" w:hAnsi="Arial" w:cs="Arial"/>
                <w:sz w:val="20"/>
                <w:szCs w:val="20"/>
              </w:rPr>
              <w:t xml:space="preserve"> (hereafter refers to Cornwall, Devon &amp; Severn, Scilly Isles &amp; Southern)</w:t>
            </w:r>
          </w:p>
          <w:p w14:paraId="48435885"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Defra</w:t>
            </w:r>
          </w:p>
          <w:p w14:paraId="5AA7BE0E"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MMO</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703313D2" w14:textId="77777777" w:rsidR="00B33EDC" w:rsidRPr="00842485" w:rsidRDefault="00B33EDC" w:rsidP="00830DD0">
            <w:pPr>
              <w:spacing w:before="40" w:after="40"/>
              <w:rPr>
                <w:rFonts w:ascii="Arial" w:hAnsi="Arial" w:cs="Arial"/>
                <w:sz w:val="20"/>
                <w:szCs w:val="20"/>
              </w:rPr>
            </w:pPr>
            <w:r w:rsidRPr="00842485">
              <w:rPr>
                <w:rFonts w:ascii="Arial" w:hAnsi="Arial" w:cs="Arial"/>
                <w:sz w:val="20"/>
                <w:szCs w:val="20"/>
              </w:rPr>
              <w:t>WGCRAB</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728C5F57" w14:textId="77777777" w:rsidR="00830DD0" w:rsidRDefault="00830DD0" w:rsidP="00830DD0">
            <w:pPr>
              <w:spacing w:before="40" w:after="40"/>
              <w:rPr>
                <w:rFonts w:ascii="Arial" w:hAnsi="Arial" w:cs="Arial"/>
                <w:sz w:val="20"/>
                <w:szCs w:val="20"/>
              </w:rPr>
            </w:pPr>
            <w:r w:rsidRPr="00842485">
              <w:rPr>
                <w:rFonts w:ascii="Arial" w:hAnsi="Arial" w:cs="Arial"/>
                <w:sz w:val="20"/>
                <w:szCs w:val="20"/>
              </w:rPr>
              <w:t xml:space="preserve">Overall timescale </w:t>
            </w:r>
            <w:r w:rsidR="00F634C2">
              <w:rPr>
                <w:rFonts w:ascii="Arial" w:hAnsi="Arial" w:cs="Arial"/>
                <w:sz w:val="20"/>
                <w:szCs w:val="20"/>
              </w:rPr>
              <w:t>3</w:t>
            </w:r>
            <w:r w:rsidRPr="00842485">
              <w:rPr>
                <w:rFonts w:ascii="Arial" w:hAnsi="Arial" w:cs="Arial"/>
                <w:sz w:val="20"/>
                <w:szCs w:val="20"/>
              </w:rPr>
              <w:t xml:space="preserve"> years</w:t>
            </w:r>
          </w:p>
          <w:p w14:paraId="0E3276C8" w14:textId="77777777" w:rsidR="00F634C2" w:rsidRPr="00842485" w:rsidRDefault="00F634C2" w:rsidP="00830DD0">
            <w:pPr>
              <w:spacing w:before="40" w:after="40"/>
              <w:rPr>
                <w:rFonts w:ascii="Arial" w:hAnsi="Arial" w:cs="Arial"/>
                <w:sz w:val="20"/>
                <w:szCs w:val="20"/>
              </w:rPr>
            </w:pPr>
            <w:r w:rsidRPr="00F634C2">
              <w:rPr>
                <w:rFonts w:ascii="Arial" w:hAnsi="Arial" w:cs="Arial"/>
                <w:b/>
                <w:sz w:val="20"/>
                <w:szCs w:val="20"/>
              </w:rPr>
              <w:t>6 months</w:t>
            </w:r>
            <w:r>
              <w:rPr>
                <w:rFonts w:ascii="Arial" w:hAnsi="Arial" w:cs="Arial"/>
                <w:sz w:val="20"/>
                <w:szCs w:val="20"/>
              </w:rPr>
              <w:t>. Position paper produced, inc. identification of effort distribution by different fleets around the UoA, and identifying current harvest strategies, gaps and potential conflicts.  Needs to recognise different management needs of UoA segments e.g. UK inshore areas, offshore areas, etc.</w:t>
            </w:r>
          </w:p>
          <w:p w14:paraId="410398F8" w14:textId="39DC0B3B"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2</w:t>
            </w:r>
            <w:r w:rsidRPr="00842485">
              <w:rPr>
                <w:rFonts w:ascii="Arial" w:hAnsi="Arial" w:cs="Arial"/>
                <w:sz w:val="20"/>
                <w:szCs w:val="20"/>
              </w:rPr>
              <w:t xml:space="preserve">: </w:t>
            </w:r>
            <w:r w:rsidR="00F634C2">
              <w:rPr>
                <w:rFonts w:ascii="Arial" w:hAnsi="Arial" w:cs="Arial"/>
                <w:sz w:val="20"/>
                <w:szCs w:val="20"/>
              </w:rPr>
              <w:t>Based on the Position Paper,</w:t>
            </w:r>
            <w:r w:rsidRPr="00842485">
              <w:rPr>
                <w:rFonts w:ascii="Arial" w:hAnsi="Arial" w:cs="Arial"/>
                <w:sz w:val="20"/>
                <w:szCs w:val="20"/>
              </w:rPr>
              <w:t xml:space="preserve"> proposals </w:t>
            </w:r>
            <w:r w:rsidR="00F634C2">
              <w:rPr>
                <w:rFonts w:ascii="Arial" w:hAnsi="Arial" w:cs="Arial"/>
                <w:sz w:val="20"/>
                <w:szCs w:val="20"/>
              </w:rPr>
              <w:t>for</w:t>
            </w:r>
            <w:r w:rsidRPr="00842485">
              <w:rPr>
                <w:rFonts w:ascii="Arial" w:hAnsi="Arial" w:cs="Arial"/>
                <w:sz w:val="20"/>
                <w:szCs w:val="20"/>
              </w:rPr>
              <w:t xml:space="preserve"> a holistic harvest strategy.  </w:t>
            </w:r>
          </w:p>
          <w:p w14:paraId="4210326B" w14:textId="27CEC192"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3</w:t>
            </w:r>
            <w:r w:rsidRPr="00842485">
              <w:rPr>
                <w:rFonts w:ascii="Arial" w:hAnsi="Arial" w:cs="Arial"/>
                <w:sz w:val="20"/>
                <w:szCs w:val="20"/>
              </w:rPr>
              <w:t xml:space="preserve">: Public consultation and formal acceptance of agreed strategy. </w:t>
            </w:r>
          </w:p>
        </w:tc>
      </w:tr>
      <w:tr w:rsidR="00830DD0" w:rsidRPr="00842485" w14:paraId="29CEA1BD"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D9E2F3" w:themeFill="accent1" w:themeFillTint="33"/>
          </w:tcPr>
          <w:p w14:paraId="5E358669" w14:textId="77777777" w:rsidR="00830DD0" w:rsidRPr="00842485" w:rsidRDefault="00830DD0" w:rsidP="00410074">
            <w:pPr>
              <w:pStyle w:val="ListParagraph"/>
            </w:pPr>
            <w:r w:rsidRPr="00842485">
              <w:t>1.2.2 Harvest control rules and tools</w:t>
            </w:r>
          </w:p>
          <w:p w14:paraId="46725585"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 xml:space="preserve">Well defined HCRs are in place that ensure that the exploitation rate is reduced as the PRI is approached, are expected to keep the stock fluctuating around a target level consistent with (or above) MSY.  </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2B47A4F6"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 xml:space="preserve">Based on the harvest strategy developed in Action #1, further development and formalisation of harvest control rules for that are both </w:t>
            </w:r>
            <w:r w:rsidR="002577B2">
              <w:rPr>
                <w:rFonts w:ascii="Arial" w:hAnsi="Arial" w:cs="Arial"/>
                <w:sz w:val="20"/>
                <w:szCs w:val="20"/>
              </w:rPr>
              <w:t xml:space="preserve">adaptive and where appropriate, </w:t>
            </w:r>
            <w:r w:rsidRPr="00842485">
              <w:rPr>
                <w:rFonts w:ascii="Arial" w:hAnsi="Arial" w:cs="Arial"/>
                <w:sz w:val="20"/>
                <w:szCs w:val="20"/>
              </w:rPr>
              <w:t>precautionary.  This would span the IFCA areas and include of</w:t>
            </w:r>
            <w:r w:rsidR="002577B2">
              <w:rPr>
                <w:rFonts w:ascii="Arial" w:hAnsi="Arial" w:cs="Arial"/>
                <w:sz w:val="20"/>
                <w:szCs w:val="20"/>
              </w:rPr>
              <w:t>fshore (&gt;6 nm) areas of the UoA</w:t>
            </w:r>
            <w:r w:rsidRPr="00842485">
              <w:rPr>
                <w:rFonts w:ascii="Arial" w:hAnsi="Arial" w:cs="Arial"/>
                <w:sz w:val="20"/>
                <w:szCs w:val="20"/>
              </w:rPr>
              <w:t xml:space="preserve">.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76903C71"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Fisheries management expertise</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166BBB68" w14:textId="77777777" w:rsidR="002577B2" w:rsidRPr="00842485" w:rsidRDefault="002577B2" w:rsidP="002577B2">
            <w:pPr>
              <w:spacing w:before="40" w:after="40"/>
              <w:rPr>
                <w:rFonts w:ascii="Arial" w:hAnsi="Arial" w:cs="Arial"/>
                <w:sz w:val="20"/>
                <w:szCs w:val="20"/>
              </w:rPr>
            </w:pPr>
            <w:r w:rsidRPr="00842485">
              <w:rPr>
                <w:rFonts w:ascii="Arial" w:hAnsi="Arial" w:cs="Arial"/>
                <w:sz w:val="20"/>
                <w:szCs w:val="20"/>
              </w:rPr>
              <w:t xml:space="preserve">CEFAS </w:t>
            </w:r>
          </w:p>
          <w:p w14:paraId="3E013E1A" w14:textId="77777777" w:rsidR="00830DD0" w:rsidRPr="00842485" w:rsidRDefault="00830DD0" w:rsidP="00830DD0">
            <w:pPr>
              <w:spacing w:before="40" w:after="40"/>
              <w:rPr>
                <w:rFonts w:ascii="Arial" w:hAnsi="Arial" w:cs="Arial"/>
                <w:sz w:val="20"/>
                <w:szCs w:val="20"/>
              </w:rPr>
            </w:pP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50B8438F"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IFCAs</w:t>
            </w:r>
          </w:p>
          <w:p w14:paraId="4804B62A"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Defra</w:t>
            </w:r>
          </w:p>
          <w:p w14:paraId="77CD54B4"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MMO</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1B37695D"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Industry</w:t>
            </w:r>
          </w:p>
          <w:p w14:paraId="37D1E4E2" w14:textId="77777777" w:rsidR="00B33EDC" w:rsidRPr="00842485" w:rsidRDefault="00B33EDC" w:rsidP="00830DD0">
            <w:pPr>
              <w:spacing w:before="40" w:after="40"/>
              <w:rPr>
                <w:rFonts w:ascii="Arial" w:hAnsi="Arial" w:cs="Arial"/>
                <w:sz w:val="20"/>
                <w:szCs w:val="20"/>
              </w:rPr>
            </w:pPr>
            <w:r w:rsidRPr="00842485">
              <w:rPr>
                <w:rFonts w:ascii="Arial" w:hAnsi="Arial" w:cs="Arial"/>
                <w:sz w:val="20"/>
                <w:szCs w:val="20"/>
              </w:rPr>
              <w:t>WGCRAB</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0A46929D" w14:textId="77777777" w:rsidR="00830DD0" w:rsidRPr="00842485" w:rsidRDefault="00830DD0" w:rsidP="00830DD0">
            <w:pPr>
              <w:spacing w:before="40" w:after="40"/>
              <w:rPr>
                <w:rFonts w:ascii="Arial" w:hAnsi="Arial" w:cs="Arial"/>
                <w:sz w:val="20"/>
                <w:szCs w:val="20"/>
              </w:rPr>
            </w:pPr>
            <w:r w:rsidRPr="00842485">
              <w:rPr>
                <w:rFonts w:ascii="Arial" w:hAnsi="Arial" w:cs="Arial"/>
                <w:sz w:val="20"/>
                <w:szCs w:val="20"/>
              </w:rPr>
              <w:t>Overall timescale 4 years</w:t>
            </w:r>
          </w:p>
          <w:p w14:paraId="507342B6" w14:textId="0C47394A"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2</w:t>
            </w:r>
            <w:r w:rsidRPr="00842485">
              <w:rPr>
                <w:rFonts w:ascii="Arial" w:hAnsi="Arial" w:cs="Arial"/>
                <w:sz w:val="20"/>
                <w:szCs w:val="20"/>
              </w:rPr>
              <w:t xml:space="preserve">: Develop proposals for harvest control rules, based on the strategies identified in Action #1 above.  </w:t>
            </w:r>
          </w:p>
          <w:p w14:paraId="70D32A5D" w14:textId="70470D7F"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3</w:t>
            </w:r>
            <w:r w:rsidRPr="00842485">
              <w:rPr>
                <w:rFonts w:ascii="Arial" w:hAnsi="Arial" w:cs="Arial"/>
                <w:sz w:val="20"/>
                <w:szCs w:val="20"/>
              </w:rPr>
              <w:t>: Proposals put out for consultation and finalised.</w:t>
            </w:r>
          </w:p>
          <w:p w14:paraId="700D215A" w14:textId="50E05C7F"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4</w:t>
            </w:r>
            <w:r w:rsidRPr="00842485">
              <w:rPr>
                <w:rFonts w:ascii="Arial" w:hAnsi="Arial" w:cs="Arial"/>
                <w:sz w:val="20"/>
                <w:szCs w:val="20"/>
              </w:rPr>
              <w:t xml:space="preserve">: </w:t>
            </w:r>
            <w:r w:rsidR="004B7716" w:rsidRPr="00842485">
              <w:rPr>
                <w:rFonts w:ascii="Arial" w:hAnsi="Arial" w:cs="Arial"/>
                <w:sz w:val="20"/>
                <w:szCs w:val="20"/>
              </w:rPr>
              <w:t xml:space="preserve">Improved </w:t>
            </w:r>
            <w:r w:rsidRPr="00842485">
              <w:rPr>
                <w:rFonts w:ascii="Arial" w:hAnsi="Arial" w:cs="Arial"/>
                <w:sz w:val="20"/>
                <w:szCs w:val="20"/>
              </w:rPr>
              <w:t xml:space="preserve">harvest control </w:t>
            </w:r>
            <w:r w:rsidR="004B7716" w:rsidRPr="00842485">
              <w:rPr>
                <w:rFonts w:ascii="Arial" w:hAnsi="Arial" w:cs="Arial"/>
                <w:sz w:val="20"/>
                <w:szCs w:val="20"/>
              </w:rPr>
              <w:t>regime</w:t>
            </w:r>
            <w:r w:rsidRPr="00842485">
              <w:rPr>
                <w:rFonts w:ascii="Arial" w:hAnsi="Arial" w:cs="Arial"/>
                <w:sz w:val="20"/>
                <w:szCs w:val="20"/>
              </w:rPr>
              <w:t xml:space="preserve"> embedded in management processes.</w:t>
            </w:r>
          </w:p>
          <w:p w14:paraId="42C5655E" w14:textId="70C75F40" w:rsidR="00830DD0" w:rsidRPr="00842485" w:rsidRDefault="00830DD0" w:rsidP="00830DD0">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5</w:t>
            </w:r>
            <w:r w:rsidRPr="00842485">
              <w:rPr>
                <w:rFonts w:ascii="Arial" w:hAnsi="Arial" w:cs="Arial"/>
                <w:sz w:val="20"/>
                <w:szCs w:val="20"/>
              </w:rPr>
              <w:t xml:space="preserve">. Review and finalisation of harvest control rules.  </w:t>
            </w:r>
          </w:p>
        </w:tc>
      </w:tr>
      <w:tr w:rsidR="00EC69F3" w:rsidRPr="00842485" w14:paraId="26894A7E"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771F9A49" w14:textId="77777777" w:rsidR="00EC69F3" w:rsidRPr="00842485" w:rsidRDefault="00EC69F3" w:rsidP="00410074">
            <w:pPr>
              <w:pStyle w:val="ListParagraph"/>
            </w:pPr>
            <w:r w:rsidRPr="00842485">
              <w:t>2.1.2 Primary and 2.2.2 Secondary species management strategy</w:t>
            </w:r>
          </w:p>
          <w:p w14:paraId="126EDF6E" w14:textId="77777777" w:rsidR="00EC69F3" w:rsidRPr="00842485" w:rsidRDefault="00EC69F3" w:rsidP="00EC69F3">
            <w:pPr>
              <w:spacing w:before="40" w:after="40"/>
            </w:pPr>
            <w:r w:rsidRPr="00842485">
              <w:rPr>
                <w:rFonts w:ascii="Arial" w:hAnsi="Arial" w:cs="Arial"/>
                <w:sz w:val="20"/>
                <w:szCs w:val="20"/>
              </w:rPr>
              <w:t>There is a partial strategy in place for the UoA, if necessary, that is expected to maintain or to not hinder rebuilding of the main primary and secondary species at/to levels which are highly likely to be above the PRI.</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427E2AA5"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 xml:space="preserve">There is a need to review alternative management measures to minimise UoA-related mortality of all </w:t>
            </w:r>
            <w:r w:rsidR="00550465" w:rsidRPr="00842485">
              <w:rPr>
                <w:rFonts w:ascii="Arial" w:hAnsi="Arial" w:cs="Arial"/>
                <w:sz w:val="20"/>
                <w:szCs w:val="20"/>
              </w:rPr>
              <w:t xml:space="preserve">non-target </w:t>
            </w:r>
            <w:r w:rsidRPr="00842485">
              <w:rPr>
                <w:rFonts w:ascii="Arial" w:hAnsi="Arial" w:cs="Arial"/>
                <w:sz w:val="20"/>
                <w:szCs w:val="20"/>
              </w:rPr>
              <w:t xml:space="preserve">primary and secondary species caught by this fishery.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7D36D1CE"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Expertise to undertake the review and identify potential mitigation measures</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3B1BD22F" w14:textId="77777777" w:rsidR="00EC69F3" w:rsidRPr="00842485" w:rsidRDefault="00CC0F58" w:rsidP="00EC69F3">
            <w:pPr>
              <w:spacing w:before="40" w:after="40"/>
              <w:rPr>
                <w:rFonts w:ascii="Arial" w:hAnsi="Arial" w:cs="Arial"/>
                <w:sz w:val="20"/>
                <w:szCs w:val="20"/>
              </w:rPr>
            </w:pPr>
            <w:r>
              <w:rPr>
                <w:rFonts w:ascii="Arial" w:hAnsi="Arial" w:cs="Arial"/>
                <w:sz w:val="20"/>
                <w:szCs w:val="20"/>
              </w:rPr>
              <w:t>Seafish</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355B22C7" w14:textId="77777777" w:rsidR="005200E2" w:rsidRPr="00842485" w:rsidRDefault="005200E2" w:rsidP="00EC69F3">
            <w:pPr>
              <w:spacing w:before="40" w:after="40"/>
              <w:rPr>
                <w:rFonts w:ascii="Arial" w:hAnsi="Arial" w:cs="Arial"/>
                <w:sz w:val="20"/>
                <w:szCs w:val="20"/>
              </w:rPr>
            </w:pPr>
            <w:r w:rsidRPr="00842485">
              <w:rPr>
                <w:rFonts w:ascii="Arial" w:hAnsi="Arial" w:cs="Arial"/>
                <w:sz w:val="20"/>
                <w:szCs w:val="20"/>
              </w:rPr>
              <w:t xml:space="preserve">CEFAS </w:t>
            </w:r>
          </w:p>
          <w:p w14:paraId="0451EDA2"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IFCAs</w:t>
            </w:r>
          </w:p>
          <w:p w14:paraId="56162250" w14:textId="05239D22" w:rsidR="00EC69F3" w:rsidRPr="00842485" w:rsidRDefault="00EC69F3" w:rsidP="00EC69F3">
            <w:pPr>
              <w:spacing w:before="40" w:after="40"/>
              <w:rPr>
                <w:rFonts w:ascii="Arial" w:hAnsi="Arial" w:cs="Arial"/>
                <w:b/>
                <w:sz w:val="20"/>
                <w:szCs w:val="20"/>
              </w:rPr>
            </w:pPr>
            <w:r w:rsidRPr="00842485">
              <w:rPr>
                <w:rFonts w:ascii="Arial" w:hAnsi="Arial" w:cs="Arial"/>
                <w:sz w:val="20"/>
                <w:szCs w:val="20"/>
              </w:rPr>
              <w:t xml:space="preserve">Industry </w:t>
            </w:r>
            <w:r w:rsidR="00C16CA1">
              <w:rPr>
                <w:rFonts w:ascii="Arial" w:hAnsi="Arial" w:cs="Arial"/>
                <w:sz w:val="20"/>
                <w:szCs w:val="20"/>
              </w:rPr>
              <w:t>– SD&amp;CS</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2A2F3553"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MMO</w:t>
            </w:r>
          </w:p>
          <w:p w14:paraId="701D77F5"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Defra</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358FE4CC" w14:textId="77777777" w:rsidR="00EC69F3" w:rsidRDefault="00EC69F3" w:rsidP="00EC69F3">
            <w:pPr>
              <w:spacing w:before="40" w:after="40"/>
              <w:rPr>
                <w:rFonts w:ascii="Arial" w:hAnsi="Arial" w:cs="Arial"/>
                <w:sz w:val="20"/>
                <w:szCs w:val="20"/>
              </w:rPr>
            </w:pPr>
            <w:r w:rsidRPr="00842485">
              <w:rPr>
                <w:rFonts w:ascii="Arial" w:hAnsi="Arial" w:cs="Arial"/>
                <w:sz w:val="20"/>
                <w:szCs w:val="20"/>
              </w:rPr>
              <w:t>Overall timescale 2 years</w:t>
            </w:r>
          </w:p>
          <w:p w14:paraId="6C492413" w14:textId="2B256544" w:rsidR="00EC69F3" w:rsidRPr="00842485" w:rsidRDefault="00EE1E4F" w:rsidP="00EC69F3">
            <w:pPr>
              <w:spacing w:before="40" w:after="40"/>
              <w:rPr>
                <w:rFonts w:ascii="Arial" w:hAnsi="Arial" w:cs="Arial"/>
                <w:sz w:val="20"/>
                <w:szCs w:val="20"/>
              </w:rPr>
            </w:pPr>
            <w:r w:rsidRPr="00EE1E4F">
              <w:rPr>
                <w:rFonts w:ascii="Arial" w:hAnsi="Arial" w:cs="Arial"/>
                <w:b/>
                <w:sz w:val="20"/>
                <w:szCs w:val="20"/>
              </w:rPr>
              <w:t>Yr 1</w:t>
            </w:r>
            <w:r w:rsidR="00CC0F58">
              <w:rPr>
                <w:rFonts w:ascii="Arial" w:hAnsi="Arial" w:cs="Arial"/>
                <w:sz w:val="20"/>
                <w:szCs w:val="20"/>
              </w:rPr>
              <w:t xml:space="preserve">: </w:t>
            </w:r>
            <w:r w:rsidR="00EC69F3" w:rsidRPr="00842485">
              <w:rPr>
                <w:rFonts w:ascii="Arial" w:hAnsi="Arial" w:cs="Arial"/>
                <w:sz w:val="20"/>
                <w:szCs w:val="20"/>
              </w:rPr>
              <w:t>Conduct review of alternative management measures for non-target species.</w:t>
            </w:r>
          </w:p>
          <w:p w14:paraId="4CF9CF0F" w14:textId="433230AD" w:rsidR="00EC69F3" w:rsidRPr="00842485" w:rsidRDefault="00EC69F3" w:rsidP="00EC69F3">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2</w:t>
            </w:r>
            <w:r w:rsidRPr="00842485">
              <w:rPr>
                <w:rFonts w:ascii="Arial" w:hAnsi="Arial" w:cs="Arial"/>
                <w:sz w:val="20"/>
                <w:szCs w:val="20"/>
              </w:rPr>
              <w:t xml:space="preserve">: Mainstreaming of alternative measures into management.  </w:t>
            </w:r>
          </w:p>
        </w:tc>
      </w:tr>
      <w:tr w:rsidR="00EC69F3" w:rsidRPr="00842485" w14:paraId="5309F523"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7BFB87A8" w14:textId="77777777" w:rsidR="00EC69F3" w:rsidRPr="00842485" w:rsidRDefault="00EC69F3" w:rsidP="00410074">
            <w:pPr>
              <w:pStyle w:val="ListParagraph"/>
            </w:pPr>
            <w:r w:rsidRPr="00842485">
              <w:t>2.2.3 Information (secondary species)</w:t>
            </w:r>
          </w:p>
          <w:p w14:paraId="7B902799" w14:textId="77777777" w:rsidR="00EC69F3" w:rsidRPr="00842485" w:rsidRDefault="00EC69F3" w:rsidP="00EC69F3">
            <w:pPr>
              <w:spacing w:before="40" w:after="40"/>
            </w:pPr>
            <w:r w:rsidRPr="00842485">
              <w:rPr>
                <w:rFonts w:ascii="Arial" w:hAnsi="Arial" w:cs="Arial"/>
                <w:sz w:val="20"/>
                <w:szCs w:val="20"/>
              </w:rPr>
              <w:t>Information adequacy for assessment of impact on main and minor secondary species, and for a management strategy.</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644C0441"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 xml:space="preserve">Information available on secondary species caught by the fisheries quantified and made available to managers.  </w:t>
            </w:r>
            <w:r w:rsidR="00550465" w:rsidRPr="00842485">
              <w:rPr>
                <w:rFonts w:ascii="Arial" w:hAnsi="Arial" w:cs="Arial"/>
                <w:sz w:val="20"/>
                <w:szCs w:val="20"/>
              </w:rPr>
              <w:t xml:space="preserve">This would form a more coherent, coordinated approach to monitoring of bycatch by the IFCAs.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534C0C33"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 xml:space="preserve">Observer </w:t>
            </w:r>
            <w:r w:rsidR="00550465" w:rsidRPr="00842485">
              <w:rPr>
                <w:rFonts w:ascii="Arial" w:hAnsi="Arial" w:cs="Arial"/>
                <w:sz w:val="20"/>
                <w:szCs w:val="20"/>
              </w:rPr>
              <w:t xml:space="preserve">/ other monitoring </w:t>
            </w:r>
            <w:r w:rsidRPr="00842485">
              <w:rPr>
                <w:rFonts w:ascii="Arial" w:hAnsi="Arial" w:cs="Arial"/>
                <w:sz w:val="20"/>
                <w:szCs w:val="20"/>
              </w:rPr>
              <w:t>programme</w:t>
            </w:r>
            <w:r w:rsidR="00550465" w:rsidRPr="00842485">
              <w:rPr>
                <w:rFonts w:ascii="Arial" w:hAnsi="Arial" w:cs="Arial"/>
                <w:sz w:val="20"/>
                <w:szCs w:val="20"/>
              </w:rPr>
              <w:t>s</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7BEFFD55" w14:textId="42BA011F" w:rsidR="00EC69F3" w:rsidRDefault="00FB585F" w:rsidP="00EC69F3">
            <w:pPr>
              <w:spacing w:before="40" w:after="40"/>
              <w:rPr>
                <w:rFonts w:ascii="Arial" w:hAnsi="Arial" w:cs="Arial"/>
                <w:sz w:val="20"/>
                <w:szCs w:val="20"/>
              </w:rPr>
            </w:pPr>
            <w:r w:rsidRPr="00FB585F">
              <w:rPr>
                <w:rFonts w:ascii="Arial" w:hAnsi="Arial" w:cs="Arial"/>
                <w:sz w:val="20"/>
                <w:szCs w:val="20"/>
              </w:rPr>
              <w:t>South Devon and Channel Shellfishermen</w:t>
            </w:r>
          </w:p>
          <w:p w14:paraId="18733660" w14:textId="15A9758C" w:rsidR="00EE1E4F" w:rsidRDefault="00EE1E4F" w:rsidP="00EC69F3">
            <w:pPr>
              <w:spacing w:before="40" w:after="40"/>
              <w:rPr>
                <w:rFonts w:ascii="Arial" w:hAnsi="Arial" w:cs="Arial"/>
                <w:sz w:val="20"/>
                <w:szCs w:val="20"/>
              </w:rPr>
            </w:pPr>
            <w:r>
              <w:rPr>
                <w:rFonts w:ascii="Arial" w:hAnsi="Arial" w:cs="Arial"/>
                <w:sz w:val="20"/>
                <w:szCs w:val="20"/>
              </w:rPr>
              <w:t>&amp;</w:t>
            </w:r>
          </w:p>
          <w:p w14:paraId="210F3BED" w14:textId="57DEE745" w:rsidR="00EE1E4F" w:rsidRDefault="00EE1E4F" w:rsidP="00EC69F3">
            <w:pPr>
              <w:spacing w:before="40" w:after="40"/>
              <w:rPr>
                <w:rFonts w:ascii="Arial" w:hAnsi="Arial" w:cs="Arial"/>
                <w:sz w:val="20"/>
                <w:szCs w:val="20"/>
              </w:rPr>
            </w:pPr>
            <w:r>
              <w:rPr>
                <w:rFonts w:ascii="Arial" w:hAnsi="Arial" w:cs="Arial"/>
                <w:sz w:val="20"/>
                <w:szCs w:val="20"/>
              </w:rPr>
              <w:t>Devon &amp; Severn IFCA</w:t>
            </w:r>
          </w:p>
          <w:p w14:paraId="277CF185" w14:textId="40B85DB7" w:rsidR="00EE1E4F" w:rsidRPr="00842485" w:rsidRDefault="00EE1E4F" w:rsidP="00EC69F3">
            <w:pPr>
              <w:spacing w:before="40" w:after="40"/>
              <w:rPr>
                <w:rFonts w:ascii="Arial" w:hAnsi="Arial" w:cs="Arial"/>
                <w:sz w:val="20"/>
                <w:szCs w:val="20"/>
              </w:rPr>
            </w:pP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7F4A51DB" w14:textId="77777777" w:rsidR="005200E2" w:rsidRPr="00842485" w:rsidRDefault="005200E2" w:rsidP="00EC69F3">
            <w:pPr>
              <w:spacing w:before="40" w:after="40"/>
              <w:rPr>
                <w:rFonts w:ascii="Arial" w:hAnsi="Arial" w:cs="Arial"/>
                <w:sz w:val="20"/>
                <w:szCs w:val="20"/>
              </w:rPr>
            </w:pPr>
            <w:r w:rsidRPr="00842485">
              <w:rPr>
                <w:rFonts w:ascii="Arial" w:hAnsi="Arial" w:cs="Arial"/>
                <w:sz w:val="20"/>
                <w:szCs w:val="20"/>
              </w:rPr>
              <w:t xml:space="preserve">IFCAs </w:t>
            </w:r>
          </w:p>
          <w:p w14:paraId="613336E4" w14:textId="77777777" w:rsidR="00550465" w:rsidRPr="00842485" w:rsidRDefault="00550465" w:rsidP="00EC69F3">
            <w:pPr>
              <w:spacing w:before="40" w:after="40"/>
              <w:rPr>
                <w:rFonts w:ascii="Arial" w:hAnsi="Arial" w:cs="Arial"/>
                <w:sz w:val="20"/>
                <w:szCs w:val="20"/>
              </w:rPr>
            </w:pPr>
            <w:r w:rsidRPr="00842485">
              <w:rPr>
                <w:rFonts w:ascii="Arial" w:hAnsi="Arial" w:cs="Arial"/>
                <w:sz w:val="20"/>
                <w:szCs w:val="20"/>
              </w:rPr>
              <w:t>CEFAS</w:t>
            </w:r>
          </w:p>
          <w:p w14:paraId="04CDBE3F" w14:textId="77777777" w:rsidR="00EC69F3" w:rsidRDefault="00FB585F" w:rsidP="00EC69F3">
            <w:pPr>
              <w:spacing w:before="40" w:after="40"/>
              <w:rPr>
                <w:rFonts w:ascii="Arial" w:hAnsi="Arial" w:cs="Arial"/>
                <w:sz w:val="20"/>
                <w:szCs w:val="20"/>
              </w:rPr>
            </w:pPr>
            <w:r>
              <w:rPr>
                <w:rFonts w:ascii="Arial" w:hAnsi="Arial" w:cs="Arial"/>
                <w:sz w:val="20"/>
                <w:szCs w:val="20"/>
              </w:rPr>
              <w:t>Industry</w:t>
            </w:r>
          </w:p>
          <w:p w14:paraId="64081C33" w14:textId="77777777" w:rsidR="00A2204C" w:rsidRPr="00842485" w:rsidRDefault="00A2204C" w:rsidP="00EC69F3">
            <w:pPr>
              <w:spacing w:before="40" w:after="40"/>
              <w:rPr>
                <w:rFonts w:ascii="Arial" w:hAnsi="Arial" w:cs="Arial"/>
                <w:sz w:val="20"/>
                <w:szCs w:val="20"/>
              </w:rPr>
            </w:pPr>
            <w:r>
              <w:rPr>
                <w:rFonts w:ascii="Arial" w:hAnsi="Arial" w:cs="Arial"/>
                <w:sz w:val="20"/>
                <w:szCs w:val="20"/>
              </w:rPr>
              <w:t>Seafish</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262EBBE7" w14:textId="77777777" w:rsidR="00550465" w:rsidRPr="00842485" w:rsidRDefault="00550465" w:rsidP="00EC69F3">
            <w:pPr>
              <w:spacing w:before="40" w:after="40"/>
              <w:rPr>
                <w:rFonts w:ascii="Arial" w:hAnsi="Arial" w:cs="Arial"/>
                <w:sz w:val="20"/>
                <w:szCs w:val="20"/>
              </w:rPr>
            </w:pP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69EB4B8E" w14:textId="77777777" w:rsidR="00EC69F3" w:rsidRPr="00842485" w:rsidRDefault="00EC69F3" w:rsidP="00EC69F3">
            <w:pPr>
              <w:spacing w:before="40" w:after="40"/>
              <w:rPr>
                <w:rFonts w:ascii="Arial" w:hAnsi="Arial" w:cs="Arial"/>
                <w:sz w:val="20"/>
                <w:szCs w:val="20"/>
              </w:rPr>
            </w:pPr>
            <w:r w:rsidRPr="00842485">
              <w:rPr>
                <w:rFonts w:ascii="Arial" w:hAnsi="Arial" w:cs="Arial"/>
                <w:sz w:val="20"/>
                <w:szCs w:val="20"/>
              </w:rPr>
              <w:t>Overall timescale 3 years</w:t>
            </w:r>
          </w:p>
          <w:p w14:paraId="02BE8119" w14:textId="0109C8D8" w:rsidR="00EC69F3" w:rsidRPr="00842485" w:rsidRDefault="00EC69F3" w:rsidP="00EC69F3">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1</w:t>
            </w:r>
            <w:r w:rsidRPr="00842485">
              <w:rPr>
                <w:rFonts w:ascii="Arial" w:hAnsi="Arial" w:cs="Arial"/>
                <w:sz w:val="20"/>
                <w:szCs w:val="20"/>
              </w:rPr>
              <w:t xml:space="preserve">: </w:t>
            </w:r>
            <w:r w:rsidR="00FB585F">
              <w:rPr>
                <w:rFonts w:ascii="Arial" w:hAnsi="Arial" w:cs="Arial"/>
                <w:sz w:val="20"/>
                <w:szCs w:val="20"/>
              </w:rPr>
              <w:t xml:space="preserve">Risk assessment </w:t>
            </w:r>
            <w:r w:rsidR="00C512BB">
              <w:rPr>
                <w:rFonts w:ascii="Arial" w:hAnsi="Arial" w:cs="Arial"/>
                <w:sz w:val="20"/>
                <w:szCs w:val="20"/>
              </w:rPr>
              <w:t>carried out</w:t>
            </w:r>
            <w:r w:rsidR="0025660E">
              <w:rPr>
                <w:rFonts w:ascii="Arial" w:hAnsi="Arial" w:cs="Arial"/>
                <w:sz w:val="20"/>
                <w:szCs w:val="20"/>
              </w:rPr>
              <w:t>.</w:t>
            </w:r>
          </w:p>
          <w:p w14:paraId="616B4EE2" w14:textId="6AB588EC" w:rsidR="00EC69F3" w:rsidRPr="00842485" w:rsidRDefault="00EC69F3" w:rsidP="00EC69F3">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2</w:t>
            </w:r>
            <w:r w:rsidRPr="00842485">
              <w:rPr>
                <w:rFonts w:ascii="Arial" w:hAnsi="Arial" w:cs="Arial"/>
                <w:sz w:val="20"/>
                <w:szCs w:val="20"/>
              </w:rPr>
              <w:t xml:space="preserve">: </w:t>
            </w:r>
            <w:r w:rsidR="0025660E">
              <w:rPr>
                <w:rFonts w:ascii="Arial" w:hAnsi="Arial" w:cs="Arial"/>
                <w:sz w:val="20"/>
                <w:szCs w:val="20"/>
              </w:rPr>
              <w:t>Based on the risk assessment, further data collection (1° or 2°) as required (possibly via FSP funding).</w:t>
            </w:r>
          </w:p>
          <w:p w14:paraId="6CBE13C9" w14:textId="16FF9FA1" w:rsidR="00EC69F3" w:rsidRPr="00842485" w:rsidRDefault="00EC69F3" w:rsidP="00EC69F3">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3</w:t>
            </w:r>
            <w:r w:rsidRPr="00842485">
              <w:rPr>
                <w:rFonts w:ascii="Arial" w:hAnsi="Arial" w:cs="Arial"/>
                <w:sz w:val="20"/>
                <w:szCs w:val="20"/>
              </w:rPr>
              <w:t xml:space="preserve">. Formal report published.  </w:t>
            </w:r>
          </w:p>
        </w:tc>
      </w:tr>
      <w:tr w:rsidR="00550465" w:rsidRPr="00842485" w14:paraId="43704FF7"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400E27F1" w14:textId="77777777" w:rsidR="00550465" w:rsidRPr="00842485" w:rsidRDefault="00550465" w:rsidP="00410074">
            <w:pPr>
              <w:pStyle w:val="ListParagraph"/>
            </w:pPr>
            <w:r w:rsidRPr="00842485">
              <w:t>2.3.1, 2.3.2, 2.3.3 ETP species outcome, management and information</w:t>
            </w:r>
          </w:p>
          <w:p w14:paraId="7A1F156D"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Effects of the UoA on populations within national / international limits.</w:t>
            </w:r>
          </w:p>
          <w:p w14:paraId="1585DE60"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Management strategy in place.</w:t>
            </w:r>
          </w:p>
          <w:p w14:paraId="4BB0D261"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Information is adequate for the assessment of impacts and their management.</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5983B458"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Information on the nature and scale of impacts on ETPs by these fisheries needs to be assessed.  Based on this, appropriate management measures need to be developed</w:t>
            </w:r>
            <w:r w:rsidR="00C95F35" w:rsidRPr="00842485">
              <w:rPr>
                <w:rFonts w:ascii="Arial" w:hAnsi="Arial" w:cs="Arial"/>
                <w:sz w:val="20"/>
                <w:szCs w:val="20"/>
              </w:rPr>
              <w:t>, if required</w:t>
            </w:r>
            <w:r w:rsidRPr="00842485">
              <w:rPr>
                <w:rFonts w:ascii="Arial" w:hAnsi="Arial" w:cs="Arial"/>
                <w:sz w:val="20"/>
                <w:szCs w:val="20"/>
              </w:rPr>
              <w:t xml:space="preserve">.  This needs to be embedded in an on-going, risk-based ETP impact monitoring system.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2CAA7D65"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 xml:space="preserve">Expertise to assess fisheries-related impacts on ETP populations, and to develop both alternative management measures to combat these and a long-term risk-monitoring program.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239954F9" w14:textId="4AAEE52C" w:rsidR="00C16CA1" w:rsidRPr="00842485" w:rsidRDefault="00C16CA1" w:rsidP="00550465">
            <w:pPr>
              <w:spacing w:before="40" w:after="40"/>
              <w:rPr>
                <w:rFonts w:ascii="Arial" w:hAnsi="Arial" w:cs="Arial"/>
                <w:sz w:val="20"/>
                <w:szCs w:val="20"/>
              </w:rPr>
            </w:pPr>
            <w:r>
              <w:rPr>
                <w:rFonts w:ascii="Arial" w:hAnsi="Arial" w:cs="Arial"/>
                <w:sz w:val="20"/>
                <w:szCs w:val="20"/>
              </w:rPr>
              <w:t>Seafish</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4C5DA0A9" w14:textId="77777777" w:rsidR="0025660E" w:rsidRDefault="0025660E" w:rsidP="00550465">
            <w:pPr>
              <w:spacing w:before="40" w:after="40"/>
              <w:rPr>
                <w:rFonts w:ascii="Arial" w:hAnsi="Arial" w:cs="Arial"/>
                <w:sz w:val="20"/>
                <w:szCs w:val="20"/>
              </w:rPr>
            </w:pPr>
            <w:r>
              <w:rPr>
                <w:rFonts w:ascii="Arial" w:hAnsi="Arial" w:cs="Arial"/>
                <w:sz w:val="20"/>
                <w:szCs w:val="20"/>
              </w:rPr>
              <w:t>JNCC</w:t>
            </w:r>
          </w:p>
          <w:p w14:paraId="3EE942D2" w14:textId="77777777" w:rsidR="0025660E" w:rsidRDefault="005200E2" w:rsidP="00550465">
            <w:pPr>
              <w:spacing w:before="40" w:after="40"/>
              <w:rPr>
                <w:rFonts w:ascii="Arial" w:hAnsi="Arial" w:cs="Arial"/>
                <w:sz w:val="20"/>
                <w:szCs w:val="20"/>
              </w:rPr>
            </w:pPr>
            <w:r w:rsidRPr="00842485">
              <w:rPr>
                <w:rFonts w:ascii="Arial" w:hAnsi="Arial" w:cs="Arial"/>
                <w:sz w:val="20"/>
                <w:szCs w:val="20"/>
              </w:rPr>
              <w:t xml:space="preserve">IFCAs </w:t>
            </w:r>
          </w:p>
          <w:p w14:paraId="15B53A73" w14:textId="77777777" w:rsidR="0025660E" w:rsidRDefault="0025660E" w:rsidP="00550465">
            <w:pPr>
              <w:spacing w:before="40" w:after="40"/>
              <w:rPr>
                <w:rFonts w:ascii="Arial" w:hAnsi="Arial" w:cs="Arial"/>
                <w:sz w:val="20"/>
                <w:szCs w:val="20"/>
              </w:rPr>
            </w:pPr>
            <w:r>
              <w:rPr>
                <w:rFonts w:ascii="Arial" w:hAnsi="Arial" w:cs="Arial"/>
                <w:sz w:val="20"/>
                <w:szCs w:val="20"/>
              </w:rPr>
              <w:t>Defra</w:t>
            </w:r>
          </w:p>
          <w:p w14:paraId="648FFE2E"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CEFAS</w:t>
            </w:r>
          </w:p>
          <w:p w14:paraId="03171197" w14:textId="77777777" w:rsidR="00550465" w:rsidRDefault="0025660E" w:rsidP="00550465">
            <w:pPr>
              <w:spacing w:before="40" w:after="40"/>
              <w:rPr>
                <w:rFonts w:ascii="Arial" w:hAnsi="Arial" w:cs="Arial"/>
                <w:sz w:val="20"/>
                <w:szCs w:val="20"/>
              </w:rPr>
            </w:pPr>
            <w:r>
              <w:rPr>
                <w:rFonts w:ascii="Arial" w:hAnsi="Arial" w:cs="Arial"/>
                <w:sz w:val="20"/>
                <w:szCs w:val="20"/>
              </w:rPr>
              <w:t>Industry</w:t>
            </w:r>
          </w:p>
          <w:p w14:paraId="1526415A" w14:textId="0F30656A" w:rsidR="00A2204C" w:rsidRDefault="00A2204C" w:rsidP="00550465">
            <w:pPr>
              <w:spacing w:before="40" w:after="40"/>
              <w:rPr>
                <w:rFonts w:ascii="Arial" w:hAnsi="Arial" w:cs="Arial"/>
                <w:sz w:val="20"/>
                <w:szCs w:val="20"/>
              </w:rPr>
            </w:pPr>
          </w:p>
          <w:p w14:paraId="270A9065" w14:textId="09B0FECB" w:rsidR="00C16CA1" w:rsidRPr="00842485" w:rsidRDefault="00C16CA1" w:rsidP="00550465">
            <w:pPr>
              <w:spacing w:before="40" w:after="40"/>
              <w:rPr>
                <w:rFonts w:ascii="Arial" w:hAnsi="Arial" w:cs="Arial"/>
                <w:sz w:val="20"/>
                <w:szCs w:val="20"/>
              </w:rPr>
            </w:pPr>
            <w:r>
              <w:rPr>
                <w:rFonts w:ascii="Arial" w:hAnsi="Arial" w:cs="Arial"/>
                <w:sz w:val="20"/>
                <w:szCs w:val="20"/>
              </w:rPr>
              <w:t>MMO</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5B52318F" w14:textId="2EDDC193" w:rsidR="00550465" w:rsidRPr="00842485" w:rsidRDefault="00C16CA1" w:rsidP="00550465">
            <w:pPr>
              <w:spacing w:before="40" w:after="40"/>
              <w:rPr>
                <w:rFonts w:ascii="Arial" w:hAnsi="Arial" w:cs="Arial"/>
                <w:sz w:val="20"/>
                <w:szCs w:val="20"/>
              </w:rPr>
            </w:pPr>
            <w:r>
              <w:rPr>
                <w:rFonts w:ascii="Arial" w:hAnsi="Arial" w:cs="Arial"/>
                <w:sz w:val="20"/>
                <w:szCs w:val="20"/>
              </w:rPr>
              <w:t>Natural England</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7B4414A3" w14:textId="77777777" w:rsidR="00550465" w:rsidRPr="00842485" w:rsidRDefault="00550465" w:rsidP="00550465">
            <w:pPr>
              <w:spacing w:before="40" w:after="40"/>
              <w:rPr>
                <w:rFonts w:ascii="Arial" w:hAnsi="Arial" w:cs="Arial"/>
                <w:sz w:val="20"/>
                <w:szCs w:val="20"/>
              </w:rPr>
            </w:pPr>
            <w:r w:rsidRPr="00842485">
              <w:rPr>
                <w:rFonts w:ascii="Arial" w:hAnsi="Arial" w:cs="Arial"/>
                <w:sz w:val="20"/>
                <w:szCs w:val="20"/>
              </w:rPr>
              <w:t xml:space="preserve">Overall timescale </w:t>
            </w:r>
            <w:r w:rsidR="00A2204C">
              <w:rPr>
                <w:rFonts w:ascii="Arial" w:hAnsi="Arial" w:cs="Arial"/>
                <w:sz w:val="20"/>
                <w:szCs w:val="20"/>
              </w:rPr>
              <w:t>4</w:t>
            </w:r>
            <w:r w:rsidRPr="00842485">
              <w:rPr>
                <w:rFonts w:ascii="Arial" w:hAnsi="Arial" w:cs="Arial"/>
                <w:sz w:val="20"/>
                <w:szCs w:val="20"/>
              </w:rPr>
              <w:t xml:space="preserve"> years</w:t>
            </w:r>
          </w:p>
          <w:p w14:paraId="7DD89B4F" w14:textId="550BE03C" w:rsidR="00A2204C" w:rsidRDefault="00550465" w:rsidP="00550465">
            <w:pPr>
              <w:spacing w:before="40" w:after="40"/>
              <w:rPr>
                <w:rFonts w:ascii="Arial" w:hAnsi="Arial" w:cs="Arial"/>
                <w:sz w:val="20"/>
                <w:szCs w:val="20"/>
              </w:rPr>
            </w:pPr>
            <w:r w:rsidRPr="00842485">
              <w:rPr>
                <w:rFonts w:ascii="Arial" w:hAnsi="Arial" w:cs="Arial"/>
                <w:b/>
                <w:sz w:val="20"/>
                <w:szCs w:val="20"/>
              </w:rPr>
              <w:t xml:space="preserve">Yr </w:t>
            </w:r>
            <w:r w:rsidR="00757890">
              <w:rPr>
                <w:rFonts w:ascii="Arial" w:hAnsi="Arial" w:cs="Arial"/>
                <w:b/>
                <w:sz w:val="20"/>
                <w:szCs w:val="20"/>
              </w:rPr>
              <w:t>1</w:t>
            </w:r>
            <w:r w:rsidRPr="00842485">
              <w:rPr>
                <w:rFonts w:ascii="Arial" w:hAnsi="Arial" w:cs="Arial"/>
                <w:sz w:val="20"/>
                <w:szCs w:val="20"/>
              </w:rPr>
              <w:t xml:space="preserve">: </w:t>
            </w:r>
            <w:r w:rsidR="008B56A5">
              <w:rPr>
                <w:rFonts w:ascii="Arial" w:hAnsi="Arial" w:cs="Arial"/>
                <w:sz w:val="20"/>
                <w:szCs w:val="20"/>
              </w:rPr>
              <w:t>GIS-based risk assessment.  Listing of potential ETPs interacting with UoAs</w:t>
            </w:r>
            <w:r w:rsidR="00A2204C">
              <w:rPr>
                <w:rFonts w:ascii="Arial" w:hAnsi="Arial" w:cs="Arial"/>
                <w:sz w:val="20"/>
                <w:szCs w:val="20"/>
              </w:rPr>
              <w:t xml:space="preserve">, and then mapping of ETP distribution overlap with UoA potting effort.  </w:t>
            </w:r>
          </w:p>
          <w:p w14:paraId="79CB2DB1" w14:textId="59056364" w:rsidR="00A2204C" w:rsidRDefault="00757890" w:rsidP="00550465">
            <w:pPr>
              <w:spacing w:before="40" w:after="40"/>
              <w:rPr>
                <w:rFonts w:ascii="Arial" w:hAnsi="Arial" w:cs="Arial"/>
                <w:sz w:val="20"/>
                <w:szCs w:val="20"/>
              </w:rPr>
            </w:pPr>
            <w:r>
              <w:rPr>
                <w:rFonts w:ascii="Arial" w:hAnsi="Arial" w:cs="Arial"/>
                <w:b/>
                <w:sz w:val="20"/>
                <w:szCs w:val="20"/>
              </w:rPr>
              <w:t>Yr 2</w:t>
            </w:r>
            <w:r w:rsidR="00B638C0">
              <w:rPr>
                <w:rFonts w:ascii="Arial" w:hAnsi="Arial" w:cs="Arial"/>
                <w:b/>
                <w:sz w:val="20"/>
                <w:szCs w:val="20"/>
              </w:rPr>
              <w:t>-</w:t>
            </w:r>
            <w:r w:rsidR="00EE1E4F">
              <w:rPr>
                <w:rFonts w:ascii="Arial" w:hAnsi="Arial" w:cs="Arial"/>
                <w:b/>
                <w:sz w:val="20"/>
                <w:szCs w:val="20"/>
              </w:rPr>
              <w:t>Y</w:t>
            </w:r>
            <w:r w:rsidR="00B638C0">
              <w:rPr>
                <w:rFonts w:ascii="Arial" w:hAnsi="Arial" w:cs="Arial"/>
                <w:b/>
                <w:sz w:val="20"/>
                <w:szCs w:val="20"/>
              </w:rPr>
              <w:t>r</w:t>
            </w:r>
            <w:r w:rsidR="00EE1E4F">
              <w:rPr>
                <w:rFonts w:ascii="Arial" w:hAnsi="Arial" w:cs="Arial"/>
                <w:b/>
                <w:sz w:val="20"/>
                <w:szCs w:val="20"/>
              </w:rPr>
              <w:t xml:space="preserve"> </w:t>
            </w:r>
            <w:r w:rsidR="00B638C0">
              <w:rPr>
                <w:rFonts w:ascii="Arial" w:hAnsi="Arial" w:cs="Arial"/>
                <w:b/>
                <w:sz w:val="20"/>
                <w:szCs w:val="20"/>
              </w:rPr>
              <w:t>3</w:t>
            </w:r>
            <w:r w:rsidR="00A2204C">
              <w:rPr>
                <w:rFonts w:ascii="Arial" w:hAnsi="Arial" w:cs="Arial"/>
                <w:sz w:val="20"/>
                <w:szCs w:val="20"/>
              </w:rPr>
              <w:t>.</w:t>
            </w:r>
            <w:r w:rsidR="008B56A5">
              <w:rPr>
                <w:rFonts w:ascii="Arial" w:hAnsi="Arial" w:cs="Arial"/>
                <w:sz w:val="20"/>
                <w:szCs w:val="20"/>
              </w:rPr>
              <w:t xml:space="preserve"> </w:t>
            </w:r>
            <w:r w:rsidR="00A2204C">
              <w:rPr>
                <w:rFonts w:ascii="Arial" w:hAnsi="Arial" w:cs="Arial"/>
                <w:sz w:val="20"/>
                <w:szCs w:val="20"/>
              </w:rPr>
              <w:t>Based on the risk assessment, further data collection (1° or 2°) as required (possibly via FSP funding).</w:t>
            </w:r>
          </w:p>
          <w:p w14:paraId="02A4D338" w14:textId="4E095789" w:rsidR="00550465" w:rsidRPr="00842485" w:rsidRDefault="00A2204C" w:rsidP="00550465">
            <w:pPr>
              <w:spacing w:before="40" w:after="40"/>
              <w:rPr>
                <w:rFonts w:ascii="Arial" w:hAnsi="Arial" w:cs="Arial"/>
                <w:sz w:val="20"/>
                <w:szCs w:val="20"/>
              </w:rPr>
            </w:pPr>
            <w:r>
              <w:rPr>
                <w:rFonts w:ascii="Arial" w:hAnsi="Arial" w:cs="Arial"/>
                <w:sz w:val="20"/>
                <w:szCs w:val="20"/>
              </w:rPr>
              <w:t xml:space="preserve"> Based on the ETP risk assessment and additional data, i</w:t>
            </w:r>
            <w:r w:rsidR="00550465" w:rsidRPr="00842485">
              <w:rPr>
                <w:rFonts w:ascii="Arial" w:hAnsi="Arial" w:cs="Arial"/>
                <w:sz w:val="20"/>
                <w:szCs w:val="20"/>
              </w:rPr>
              <w:t>dentification of interactions with ETPs and consequences for ETP populations and the development of possible management approaches for reducing ETP interactions and impacts</w:t>
            </w:r>
          </w:p>
          <w:p w14:paraId="0847BED3" w14:textId="7DDD857A" w:rsidR="00550465" w:rsidRPr="00842485" w:rsidRDefault="00A2204C" w:rsidP="00550465">
            <w:pPr>
              <w:spacing w:before="40" w:after="40"/>
              <w:rPr>
                <w:rFonts w:ascii="Arial" w:hAnsi="Arial" w:cs="Arial"/>
                <w:sz w:val="20"/>
                <w:szCs w:val="20"/>
              </w:rPr>
            </w:pPr>
            <w:r>
              <w:rPr>
                <w:rFonts w:ascii="Arial" w:hAnsi="Arial" w:cs="Arial"/>
                <w:b/>
                <w:sz w:val="20"/>
                <w:szCs w:val="20"/>
              </w:rPr>
              <w:t xml:space="preserve">Yr </w:t>
            </w:r>
            <w:r w:rsidR="00757890">
              <w:rPr>
                <w:rFonts w:ascii="Arial" w:hAnsi="Arial" w:cs="Arial"/>
                <w:b/>
                <w:sz w:val="20"/>
                <w:szCs w:val="20"/>
              </w:rPr>
              <w:t>4</w:t>
            </w:r>
            <w:r w:rsidR="00550465" w:rsidRPr="00842485">
              <w:rPr>
                <w:rFonts w:ascii="Arial" w:hAnsi="Arial" w:cs="Arial"/>
                <w:sz w:val="20"/>
                <w:szCs w:val="20"/>
              </w:rPr>
              <w:t xml:space="preserve">. Mainstreaming of ETP management approaches and introduce of the risk-monitoring system. </w:t>
            </w:r>
          </w:p>
        </w:tc>
      </w:tr>
      <w:tr w:rsidR="00B33EDC" w:rsidRPr="00842485" w14:paraId="63207061" w14:textId="77777777" w:rsidTr="00410074">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FFF2CC" w:themeFill="accent4" w:themeFillTint="33"/>
          </w:tcPr>
          <w:p w14:paraId="46B880C0" w14:textId="77777777" w:rsidR="00B33EDC" w:rsidRPr="00842485" w:rsidRDefault="00B33EDC" w:rsidP="00410074">
            <w:pPr>
              <w:pStyle w:val="ListParagraph"/>
            </w:pPr>
            <w:r w:rsidRPr="00842485">
              <w:t xml:space="preserve">3.2.1 Fishery-specific objectives </w:t>
            </w:r>
          </w:p>
          <w:p w14:paraId="2F3021FD" w14:textId="77777777" w:rsidR="00B33EDC" w:rsidRPr="00842485" w:rsidRDefault="00B33EDC" w:rsidP="00B33EDC">
            <w:pPr>
              <w:spacing w:before="40" w:after="40"/>
              <w:rPr>
                <w:rFonts w:ascii="Arial" w:hAnsi="Arial" w:cs="Arial"/>
                <w:sz w:val="20"/>
                <w:szCs w:val="20"/>
              </w:rPr>
            </w:pPr>
            <w:r w:rsidRPr="00842485">
              <w:rPr>
                <w:rFonts w:ascii="Arial" w:hAnsi="Arial" w:cs="Arial"/>
                <w:sz w:val="20"/>
                <w:szCs w:val="20"/>
              </w:rPr>
              <w:t>Short and long term objectives, which are consistent with achieving the outcomes expressed by MSC’s Principles 1 and 2, are explicit within the fishery-specific management system.</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6494B163" w14:textId="77777777" w:rsidR="00B33EDC" w:rsidRPr="00842485" w:rsidRDefault="00B33EDC" w:rsidP="00B33EDC">
            <w:pPr>
              <w:spacing w:before="40" w:after="40"/>
              <w:rPr>
                <w:rFonts w:ascii="Arial" w:hAnsi="Arial" w:cs="Arial"/>
                <w:sz w:val="20"/>
                <w:szCs w:val="20"/>
              </w:rPr>
            </w:pPr>
            <w:r w:rsidRPr="00842485">
              <w:rPr>
                <w:rFonts w:ascii="Arial" w:hAnsi="Arial" w:cs="Arial"/>
                <w:sz w:val="20"/>
                <w:szCs w:val="20"/>
              </w:rPr>
              <w:t xml:space="preserve">Wider discussion and agreement of management needs and objectives with trans-boundary management authorities e.g. across </w:t>
            </w:r>
            <w:r w:rsidR="00A2204C">
              <w:rPr>
                <w:rFonts w:ascii="Arial" w:hAnsi="Arial" w:cs="Arial"/>
                <w:sz w:val="20"/>
                <w:szCs w:val="20"/>
              </w:rPr>
              <w:t>UK inshore and offshore areas,</w:t>
            </w:r>
            <w:r w:rsidRPr="00842485">
              <w:rPr>
                <w:rFonts w:ascii="Arial" w:hAnsi="Arial" w:cs="Arial"/>
                <w:sz w:val="20"/>
                <w:szCs w:val="20"/>
              </w:rPr>
              <w:t xml:space="preserve"> and with French and Irish MAs.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376611EF" w14:textId="77777777" w:rsidR="00B33EDC" w:rsidRPr="00842485" w:rsidRDefault="00B33EDC" w:rsidP="00B33EDC">
            <w:pPr>
              <w:spacing w:before="40" w:after="40"/>
              <w:rPr>
                <w:rFonts w:ascii="Arial" w:hAnsi="Arial" w:cs="Arial"/>
                <w:sz w:val="20"/>
                <w:szCs w:val="20"/>
              </w:rPr>
            </w:pPr>
            <w:r w:rsidRPr="00842485">
              <w:rPr>
                <w:rFonts w:ascii="Arial" w:hAnsi="Arial" w:cs="Arial"/>
                <w:sz w:val="20"/>
                <w:szCs w:val="20"/>
              </w:rPr>
              <w:t xml:space="preserve">Facilitation of trans-boundary discussions and agreements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61CAD809" w14:textId="77777777" w:rsidR="00B33EDC" w:rsidRPr="00842485" w:rsidRDefault="00A2204C" w:rsidP="00B33EDC">
            <w:pPr>
              <w:spacing w:before="40" w:after="40"/>
              <w:rPr>
                <w:rFonts w:ascii="Arial" w:hAnsi="Arial" w:cs="Arial"/>
                <w:sz w:val="20"/>
                <w:szCs w:val="20"/>
              </w:rPr>
            </w:pPr>
            <w:r>
              <w:rPr>
                <w:rFonts w:ascii="Arial" w:hAnsi="Arial" w:cs="Arial"/>
                <w:sz w:val="20"/>
                <w:szCs w:val="20"/>
              </w:rPr>
              <w:t>Crab and lobster FIP Steering Group</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3DCEC5C9" w14:textId="77777777" w:rsidR="006D1435" w:rsidRPr="00842485" w:rsidRDefault="006D1435" w:rsidP="00B33EDC">
            <w:pPr>
              <w:spacing w:before="40" w:after="40"/>
              <w:rPr>
                <w:rFonts w:ascii="Arial" w:hAnsi="Arial" w:cs="Arial"/>
                <w:sz w:val="20"/>
                <w:szCs w:val="20"/>
              </w:rPr>
            </w:pPr>
            <w:r w:rsidRPr="00842485">
              <w:rPr>
                <w:rFonts w:ascii="Arial" w:hAnsi="Arial" w:cs="Arial"/>
                <w:sz w:val="20"/>
                <w:szCs w:val="20"/>
              </w:rPr>
              <w:t xml:space="preserve">Defra </w:t>
            </w:r>
          </w:p>
          <w:p w14:paraId="408674CE" w14:textId="77777777" w:rsidR="00B33EDC" w:rsidRPr="00842485" w:rsidRDefault="00B33EDC" w:rsidP="00B33EDC">
            <w:pPr>
              <w:spacing w:before="40" w:after="40"/>
              <w:rPr>
                <w:rFonts w:ascii="Arial" w:hAnsi="Arial" w:cs="Arial"/>
                <w:sz w:val="20"/>
                <w:szCs w:val="20"/>
              </w:rPr>
            </w:pPr>
            <w:r w:rsidRPr="00842485">
              <w:rPr>
                <w:rFonts w:ascii="Arial" w:hAnsi="Arial" w:cs="Arial"/>
                <w:sz w:val="20"/>
                <w:szCs w:val="20"/>
              </w:rPr>
              <w:t>MMO</w:t>
            </w:r>
          </w:p>
          <w:p w14:paraId="013BD2F0" w14:textId="77777777" w:rsidR="00B33EDC" w:rsidRDefault="00B33EDC" w:rsidP="00B33EDC">
            <w:pPr>
              <w:spacing w:before="40" w:after="40"/>
              <w:rPr>
                <w:rFonts w:ascii="Arial" w:hAnsi="Arial" w:cs="Arial"/>
                <w:sz w:val="20"/>
                <w:szCs w:val="20"/>
              </w:rPr>
            </w:pPr>
            <w:r w:rsidRPr="00842485">
              <w:rPr>
                <w:rFonts w:ascii="Arial" w:hAnsi="Arial" w:cs="Arial"/>
                <w:sz w:val="20"/>
                <w:szCs w:val="20"/>
              </w:rPr>
              <w:t>IFCAs</w:t>
            </w:r>
          </w:p>
          <w:p w14:paraId="6F17FB54" w14:textId="77777777" w:rsidR="0059581D" w:rsidRPr="00842485" w:rsidRDefault="004F7AA2" w:rsidP="00B33EDC">
            <w:pPr>
              <w:spacing w:before="40" w:after="40"/>
              <w:rPr>
                <w:rFonts w:ascii="Arial" w:hAnsi="Arial" w:cs="Arial"/>
                <w:sz w:val="20"/>
                <w:szCs w:val="20"/>
              </w:rPr>
            </w:pPr>
            <w:r>
              <w:rPr>
                <w:rFonts w:ascii="Arial" w:hAnsi="Arial" w:cs="Arial"/>
                <w:sz w:val="20"/>
                <w:szCs w:val="20"/>
              </w:rPr>
              <w:t>NWWAC</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0611C3ED" w14:textId="77777777" w:rsidR="00B33EDC" w:rsidRPr="00842485" w:rsidRDefault="00A2204C" w:rsidP="00B33EDC">
            <w:pPr>
              <w:spacing w:before="40" w:after="40"/>
              <w:rPr>
                <w:rFonts w:ascii="Arial" w:hAnsi="Arial" w:cs="Arial"/>
                <w:sz w:val="20"/>
                <w:szCs w:val="20"/>
              </w:rPr>
            </w:pPr>
            <w:r>
              <w:rPr>
                <w:rFonts w:ascii="Arial" w:hAnsi="Arial" w:cs="Arial"/>
                <w:sz w:val="20"/>
                <w:szCs w:val="20"/>
              </w:rPr>
              <w:t>NWAG</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7296043B" w14:textId="77777777" w:rsidR="00B33EDC" w:rsidRPr="00842485" w:rsidRDefault="00B33EDC" w:rsidP="00B33EDC">
            <w:pPr>
              <w:spacing w:before="40" w:after="40"/>
              <w:rPr>
                <w:rFonts w:ascii="Arial" w:hAnsi="Arial" w:cs="Arial"/>
                <w:sz w:val="20"/>
                <w:szCs w:val="20"/>
              </w:rPr>
            </w:pPr>
            <w:r w:rsidRPr="00842485">
              <w:rPr>
                <w:rFonts w:ascii="Arial" w:hAnsi="Arial" w:cs="Arial"/>
                <w:sz w:val="20"/>
                <w:szCs w:val="20"/>
              </w:rPr>
              <w:t xml:space="preserve">Overall timescale </w:t>
            </w:r>
            <w:r w:rsidR="00E23599" w:rsidRPr="00842485">
              <w:rPr>
                <w:rFonts w:ascii="Arial" w:hAnsi="Arial" w:cs="Arial"/>
                <w:sz w:val="20"/>
                <w:szCs w:val="20"/>
              </w:rPr>
              <w:t>1 year</w:t>
            </w:r>
          </w:p>
          <w:p w14:paraId="002D40ED" w14:textId="77777777" w:rsidR="00B33EDC" w:rsidRPr="00842485" w:rsidRDefault="004F7AA2" w:rsidP="00B33EDC">
            <w:pPr>
              <w:spacing w:before="40" w:after="40"/>
              <w:rPr>
                <w:rFonts w:ascii="Arial" w:hAnsi="Arial" w:cs="Arial"/>
                <w:sz w:val="20"/>
                <w:szCs w:val="20"/>
              </w:rPr>
            </w:pPr>
            <w:r>
              <w:rPr>
                <w:rFonts w:ascii="Arial" w:hAnsi="Arial" w:cs="Arial"/>
                <w:b/>
                <w:sz w:val="20"/>
                <w:szCs w:val="20"/>
              </w:rPr>
              <w:t>Each SG Meeting</w:t>
            </w:r>
            <w:r w:rsidR="00B33EDC" w:rsidRPr="00842485">
              <w:rPr>
                <w:rFonts w:ascii="Arial" w:hAnsi="Arial" w:cs="Arial"/>
                <w:sz w:val="20"/>
                <w:szCs w:val="20"/>
              </w:rPr>
              <w:t xml:space="preserve">: </w:t>
            </w:r>
            <w:r w:rsidR="00E23599" w:rsidRPr="00842485">
              <w:rPr>
                <w:rFonts w:ascii="Arial" w:hAnsi="Arial" w:cs="Arial"/>
                <w:sz w:val="20"/>
                <w:szCs w:val="20"/>
              </w:rPr>
              <w:t xml:space="preserve">Review and where necessary, </w:t>
            </w:r>
            <w:r>
              <w:rPr>
                <w:rFonts w:ascii="Arial" w:hAnsi="Arial" w:cs="Arial"/>
                <w:sz w:val="20"/>
                <w:szCs w:val="20"/>
              </w:rPr>
              <w:t xml:space="preserve">promote </w:t>
            </w:r>
            <w:r w:rsidR="00E23599" w:rsidRPr="00842485">
              <w:rPr>
                <w:rFonts w:ascii="Arial" w:hAnsi="Arial" w:cs="Arial"/>
                <w:sz w:val="20"/>
                <w:szCs w:val="20"/>
              </w:rPr>
              <w:t>improvements to UK and non-UK consultation and joint management processes</w:t>
            </w:r>
            <w:r w:rsidR="00B33EDC" w:rsidRPr="00842485">
              <w:rPr>
                <w:rFonts w:ascii="Arial" w:hAnsi="Arial" w:cs="Arial"/>
                <w:sz w:val="20"/>
                <w:szCs w:val="20"/>
              </w:rPr>
              <w:t>.</w:t>
            </w:r>
          </w:p>
        </w:tc>
      </w:tr>
    </w:tbl>
    <w:p w14:paraId="6E84207D" w14:textId="4845EF5A" w:rsidR="003C7BC7" w:rsidRDefault="00210A62" w:rsidP="009E2C4D">
      <w:pPr>
        <w:spacing w:before="0" w:after="120"/>
        <w:rPr>
          <w:rFonts w:ascii="Arial" w:hAnsi="Arial"/>
          <w:b/>
          <w:color w:val="4C4C4C"/>
          <w:sz w:val="24"/>
          <w:szCs w:val="24"/>
        </w:rPr>
      </w:pPr>
      <w:r w:rsidRPr="00842485">
        <w:rPr>
          <w:rFonts w:ascii="Arial" w:hAnsi="Arial"/>
          <w:b/>
          <w:color w:val="4C4C4C"/>
          <w:sz w:val="24"/>
          <w:szCs w:val="24"/>
        </w:rPr>
        <w:br w:type="page"/>
      </w:r>
      <w:r w:rsidR="00653DA6" w:rsidRPr="00842485">
        <w:rPr>
          <w:rFonts w:ascii="Arial" w:hAnsi="Arial"/>
          <w:b/>
          <w:color w:val="4C4C4C"/>
          <w:sz w:val="24"/>
          <w:szCs w:val="24"/>
        </w:rPr>
        <w:t>Table 3: Evaluation against Action Plan m</w:t>
      </w:r>
      <w:r w:rsidR="003C7BC7" w:rsidRPr="00842485">
        <w:rPr>
          <w:rFonts w:ascii="Arial" w:hAnsi="Arial"/>
          <w:b/>
          <w:color w:val="4C4C4C"/>
          <w:sz w:val="24"/>
          <w:szCs w:val="24"/>
        </w:rPr>
        <w:t>ilestones</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67"/>
        <w:gridCol w:w="2126"/>
        <w:gridCol w:w="5528"/>
        <w:gridCol w:w="2978"/>
        <w:gridCol w:w="2979"/>
      </w:tblGrid>
      <w:tr w:rsidR="00410074" w:rsidRPr="00393726" w14:paraId="133051A7" w14:textId="77777777" w:rsidTr="00443BE0">
        <w:trPr>
          <w:cantSplit/>
          <w:trHeight w:val="213"/>
          <w:tblHeader/>
        </w:trPr>
        <w:tc>
          <w:tcPr>
            <w:tcW w:w="1867" w:type="dxa"/>
            <w:tcBorders>
              <w:top w:val="single" w:sz="8" w:space="0" w:color="005DAA"/>
              <w:left w:val="single" w:sz="8" w:space="0" w:color="005DAA"/>
              <w:bottom w:val="single" w:sz="8" w:space="0" w:color="005DAA"/>
              <w:right w:val="nil"/>
            </w:tcBorders>
            <w:shd w:val="solid" w:color="005DAA" w:fill="4F81BD"/>
          </w:tcPr>
          <w:p w14:paraId="76C5FE7E" w14:textId="77777777" w:rsidR="00410074" w:rsidRPr="00D81496" w:rsidRDefault="00410074" w:rsidP="00306A60">
            <w:pPr>
              <w:spacing w:before="40" w:after="40"/>
              <w:rPr>
                <w:rFonts w:ascii="Arial" w:hAnsi="Arial" w:cs="Arial"/>
                <w:b/>
                <w:bCs/>
                <w:color w:val="FFFFFF"/>
                <w:sz w:val="20"/>
                <w:szCs w:val="20"/>
              </w:rPr>
            </w:pPr>
            <w:bookmarkStart w:id="1" w:name="OLE_LINK1"/>
            <w:bookmarkStart w:id="2" w:name="OLE_LINK2"/>
            <w:bookmarkStart w:id="3" w:name="OLE_LINK3"/>
            <w:r w:rsidRPr="00D81496">
              <w:rPr>
                <w:rFonts w:ascii="Arial" w:hAnsi="Arial" w:cs="Arial"/>
                <w:b/>
                <w:bCs/>
                <w:color w:val="FFFFFF"/>
                <w:sz w:val="20"/>
                <w:szCs w:val="20"/>
              </w:rPr>
              <w:t>Standard requirement</w:t>
            </w:r>
          </w:p>
        </w:tc>
        <w:tc>
          <w:tcPr>
            <w:tcW w:w="2126" w:type="dxa"/>
            <w:tcBorders>
              <w:top w:val="single" w:sz="8" w:space="0" w:color="005DAA"/>
              <w:left w:val="nil"/>
              <w:bottom w:val="single" w:sz="8" w:space="0" w:color="005DAA"/>
              <w:right w:val="nil"/>
            </w:tcBorders>
            <w:shd w:val="solid" w:color="005DAA" w:fill="4F81BD"/>
            <w:vAlign w:val="center"/>
          </w:tcPr>
          <w:p w14:paraId="24C12308" w14:textId="77777777" w:rsidR="00410074" w:rsidRPr="00D81496" w:rsidRDefault="00410074" w:rsidP="00306A60">
            <w:pPr>
              <w:spacing w:before="40" w:after="40"/>
              <w:rPr>
                <w:rFonts w:ascii="Arial" w:hAnsi="Arial" w:cs="Arial"/>
                <w:b/>
                <w:bCs/>
                <w:color w:val="FFFFFF"/>
                <w:sz w:val="20"/>
                <w:szCs w:val="20"/>
              </w:rPr>
            </w:pPr>
            <w:r w:rsidRPr="00D81496">
              <w:rPr>
                <w:rFonts w:ascii="Arial" w:hAnsi="Arial" w:cs="Arial"/>
                <w:b/>
                <w:bCs/>
                <w:color w:val="FFFFFF"/>
                <w:sz w:val="20"/>
                <w:szCs w:val="20"/>
              </w:rPr>
              <w:t>Actions</w:t>
            </w:r>
          </w:p>
        </w:tc>
        <w:tc>
          <w:tcPr>
            <w:tcW w:w="5528" w:type="dxa"/>
            <w:tcBorders>
              <w:top w:val="single" w:sz="8" w:space="0" w:color="005DAA"/>
              <w:left w:val="nil"/>
              <w:bottom w:val="single" w:sz="8" w:space="0" w:color="005DAA"/>
              <w:right w:val="nil"/>
            </w:tcBorders>
            <w:shd w:val="solid" w:color="005DAA" w:fill="4F81BD"/>
            <w:vAlign w:val="center"/>
          </w:tcPr>
          <w:p w14:paraId="2069BC1B" w14:textId="77777777" w:rsidR="00410074" w:rsidRPr="00D81496" w:rsidRDefault="00410074" w:rsidP="00306A60">
            <w:pPr>
              <w:spacing w:before="40" w:after="40"/>
              <w:rPr>
                <w:rFonts w:ascii="Arial" w:hAnsi="Arial" w:cs="Arial"/>
                <w:b/>
                <w:bCs/>
                <w:color w:val="FFFFFF"/>
                <w:sz w:val="20"/>
                <w:szCs w:val="20"/>
              </w:rPr>
            </w:pPr>
            <w:r w:rsidRPr="00D81496">
              <w:rPr>
                <w:rFonts w:ascii="Arial" w:hAnsi="Arial" w:cs="Arial"/>
                <w:b/>
                <w:bCs/>
                <w:color w:val="FFFFFF"/>
                <w:sz w:val="20"/>
                <w:szCs w:val="20"/>
              </w:rPr>
              <w:t>Timescale / milestones</w:t>
            </w:r>
          </w:p>
        </w:tc>
        <w:tc>
          <w:tcPr>
            <w:tcW w:w="2978" w:type="dxa"/>
            <w:tcBorders>
              <w:top w:val="single" w:sz="8" w:space="0" w:color="005DAA"/>
              <w:left w:val="nil"/>
              <w:bottom w:val="single" w:sz="8" w:space="0" w:color="005DAA"/>
              <w:right w:val="nil"/>
            </w:tcBorders>
            <w:shd w:val="solid" w:color="005DAA" w:fill="4F81BD"/>
            <w:vAlign w:val="center"/>
          </w:tcPr>
          <w:p w14:paraId="13621541" w14:textId="77777777" w:rsidR="00410074" w:rsidRPr="00D81496" w:rsidRDefault="00410074" w:rsidP="00306A60">
            <w:pPr>
              <w:spacing w:before="40" w:after="40"/>
              <w:rPr>
                <w:rFonts w:ascii="Arial" w:hAnsi="Arial" w:cs="Arial"/>
                <w:b/>
                <w:bCs/>
                <w:color w:val="FFFFFF"/>
                <w:sz w:val="20"/>
                <w:szCs w:val="20"/>
              </w:rPr>
            </w:pPr>
            <w:r w:rsidRPr="00D81496">
              <w:rPr>
                <w:rFonts w:ascii="Arial" w:hAnsi="Arial" w:cs="Arial"/>
                <w:b/>
                <w:bCs/>
                <w:color w:val="FFFFFF"/>
                <w:sz w:val="20"/>
                <w:szCs w:val="20"/>
              </w:rPr>
              <w:t>Progress / outcome</w:t>
            </w:r>
          </w:p>
        </w:tc>
        <w:tc>
          <w:tcPr>
            <w:tcW w:w="2979" w:type="dxa"/>
            <w:tcBorders>
              <w:top w:val="single" w:sz="8" w:space="0" w:color="005DAA"/>
              <w:left w:val="nil"/>
              <w:bottom w:val="single" w:sz="8" w:space="0" w:color="005DAA"/>
              <w:right w:val="single" w:sz="8" w:space="0" w:color="7BA0CD"/>
            </w:tcBorders>
            <w:shd w:val="solid" w:color="005DAA" w:fill="4F81BD"/>
            <w:vAlign w:val="center"/>
          </w:tcPr>
          <w:p w14:paraId="34D60FFE" w14:textId="77777777" w:rsidR="00410074" w:rsidRPr="00D81496" w:rsidRDefault="00410074" w:rsidP="00306A60">
            <w:pPr>
              <w:spacing w:before="40" w:after="40"/>
              <w:rPr>
                <w:rFonts w:ascii="Arial" w:hAnsi="Arial" w:cs="Arial"/>
                <w:b/>
                <w:bCs/>
                <w:color w:val="FFFFFF"/>
                <w:sz w:val="20"/>
                <w:szCs w:val="20"/>
              </w:rPr>
            </w:pPr>
            <w:r w:rsidRPr="00D81496">
              <w:rPr>
                <w:rFonts w:ascii="Arial" w:hAnsi="Arial" w:cs="Arial"/>
                <w:b/>
                <w:bCs/>
                <w:color w:val="FFFFFF"/>
                <w:sz w:val="20"/>
                <w:szCs w:val="20"/>
              </w:rPr>
              <w:t>Revised milestone</w:t>
            </w:r>
          </w:p>
        </w:tc>
      </w:tr>
      <w:tr w:rsidR="00410074" w:rsidRPr="00393726" w14:paraId="5C48A777" w14:textId="77777777" w:rsidTr="004F233E">
        <w:trPr>
          <w:cantSplit/>
        </w:trPr>
        <w:tc>
          <w:tcPr>
            <w:tcW w:w="1867" w:type="dxa"/>
            <w:vMerge w:val="restart"/>
            <w:tcBorders>
              <w:top w:val="single" w:sz="8" w:space="0" w:color="005DAA"/>
              <w:left w:val="single" w:sz="8" w:space="0" w:color="005DAA"/>
              <w:right w:val="single" w:sz="6" w:space="0" w:color="7BA0CD"/>
            </w:tcBorders>
            <w:shd w:val="clear" w:color="auto" w:fill="D9E2F3" w:themeFill="accent1" w:themeFillTint="33"/>
          </w:tcPr>
          <w:p w14:paraId="4E8A277F" w14:textId="77777777" w:rsidR="00410074" w:rsidRPr="00D81496" w:rsidRDefault="00410074" w:rsidP="00306A60">
            <w:pPr>
              <w:spacing w:before="40" w:after="40"/>
              <w:rPr>
                <w:rFonts w:ascii="Arial" w:hAnsi="Arial" w:cs="Arial"/>
                <w:b/>
                <w:color w:val="4C4C4C"/>
                <w:sz w:val="20"/>
                <w:szCs w:val="20"/>
              </w:rPr>
            </w:pPr>
            <w:r w:rsidRPr="00D81496">
              <w:rPr>
                <w:rFonts w:ascii="Arial" w:hAnsi="Arial" w:cs="Arial"/>
                <w:b/>
                <w:color w:val="4C4C4C"/>
                <w:sz w:val="20"/>
                <w:szCs w:val="20"/>
              </w:rPr>
              <w:t xml:space="preserve">1.2.1 Harvest strategy </w:t>
            </w:r>
            <w:r w:rsidRPr="00D81496">
              <w:rPr>
                <w:rFonts w:ascii="Arial" w:hAnsi="Arial" w:cs="Arial"/>
                <w:b/>
                <w:color w:val="4C4C4C"/>
                <w:sz w:val="20"/>
                <w:szCs w:val="20"/>
              </w:rPr>
              <w:br/>
            </w:r>
          </w:p>
        </w:tc>
        <w:tc>
          <w:tcPr>
            <w:tcW w:w="2126" w:type="dxa"/>
            <w:vMerge w:val="restart"/>
            <w:tcBorders>
              <w:top w:val="single" w:sz="8" w:space="0" w:color="005DAA"/>
              <w:left w:val="single" w:sz="6" w:space="0" w:color="7BA0CD"/>
              <w:right w:val="single" w:sz="6" w:space="0" w:color="7BA0CD"/>
            </w:tcBorders>
            <w:shd w:val="solid" w:color="FFFFFF" w:fill="auto"/>
          </w:tcPr>
          <w:p w14:paraId="251A2554" w14:textId="52EF76F4" w:rsidR="00410074" w:rsidRPr="00D81496" w:rsidRDefault="00410074" w:rsidP="00306A60">
            <w:pPr>
              <w:spacing w:before="40" w:after="40"/>
              <w:rPr>
                <w:rFonts w:ascii="Arial" w:hAnsi="Arial" w:cs="Arial"/>
                <w:sz w:val="20"/>
                <w:szCs w:val="20"/>
              </w:rPr>
            </w:pPr>
            <w:r>
              <w:rPr>
                <w:rFonts w:ascii="Arial" w:hAnsi="Arial" w:cs="Arial"/>
                <w:sz w:val="20"/>
                <w:szCs w:val="20"/>
              </w:rPr>
              <w:t>Action #1</w:t>
            </w:r>
            <w:r w:rsidRPr="00D81496">
              <w:rPr>
                <w:rFonts w:ascii="Arial" w:hAnsi="Arial" w:cs="Arial"/>
                <w:sz w:val="20"/>
                <w:szCs w:val="20"/>
              </w:rPr>
              <w:t>: D</w:t>
            </w:r>
            <w:r>
              <w:rPr>
                <w:rFonts w:ascii="Arial" w:hAnsi="Arial" w:cs="Arial"/>
                <w:sz w:val="20"/>
                <w:szCs w:val="20"/>
              </w:rPr>
              <w:t xml:space="preserve">evelop formal harvest strategy </w:t>
            </w:r>
            <w:r w:rsidRPr="00410074">
              <w:rPr>
                <w:rFonts w:ascii="Arial" w:hAnsi="Arial" w:cs="Arial"/>
                <w:sz w:val="20"/>
                <w:szCs w:val="20"/>
              </w:rPr>
              <w:t>that include</w:t>
            </w:r>
            <w:r>
              <w:rPr>
                <w:rFonts w:ascii="Arial" w:hAnsi="Arial" w:cs="Arial"/>
                <w:sz w:val="20"/>
                <w:szCs w:val="20"/>
              </w:rPr>
              <w:t>s</w:t>
            </w:r>
            <w:r w:rsidRPr="00410074">
              <w:rPr>
                <w:rFonts w:ascii="Arial" w:hAnsi="Arial" w:cs="Arial"/>
                <w:sz w:val="20"/>
                <w:szCs w:val="20"/>
              </w:rPr>
              <w:t xml:space="preserve"> adaptive management measures where appropriate</w:t>
            </w:r>
            <w:r>
              <w:rPr>
                <w:rFonts w:ascii="Arial" w:hAnsi="Arial" w:cs="Arial"/>
                <w:sz w:val="20"/>
                <w:szCs w:val="20"/>
              </w:rPr>
              <w:t>.</w:t>
            </w: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7716DA75" w14:textId="14353493" w:rsidR="00410074" w:rsidRPr="00D81496" w:rsidRDefault="00410074" w:rsidP="00410074">
            <w:pPr>
              <w:spacing w:before="40" w:after="40"/>
              <w:rPr>
                <w:rFonts w:ascii="Arial" w:hAnsi="Arial" w:cs="Arial"/>
                <w:sz w:val="20"/>
                <w:szCs w:val="20"/>
              </w:rPr>
            </w:pPr>
            <w:r w:rsidRPr="00410074">
              <w:rPr>
                <w:rFonts w:ascii="Arial" w:hAnsi="Arial" w:cs="Arial"/>
                <w:sz w:val="20"/>
                <w:szCs w:val="20"/>
              </w:rPr>
              <w:t xml:space="preserve">6 months. Position paper produced, inc. identification of effort distribution by different fleets around the UoA, </w:t>
            </w:r>
            <w:r>
              <w:rPr>
                <w:rFonts w:ascii="Arial" w:hAnsi="Arial" w:cs="Arial"/>
                <w:sz w:val="20"/>
                <w:szCs w:val="20"/>
              </w:rPr>
              <w:t>&amp;</w:t>
            </w:r>
            <w:r w:rsidRPr="00410074">
              <w:rPr>
                <w:rFonts w:ascii="Arial" w:hAnsi="Arial" w:cs="Arial"/>
                <w:sz w:val="20"/>
                <w:szCs w:val="20"/>
              </w:rPr>
              <w:t xml:space="preserve"> identifying current harvest strategies, gaps and potential conflicts.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42C7BDA1"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03C29E89" w14:textId="77777777" w:rsidR="00410074" w:rsidRPr="00D81496" w:rsidRDefault="00410074" w:rsidP="00306A60">
            <w:pPr>
              <w:spacing w:before="40" w:after="40"/>
              <w:rPr>
                <w:rFonts w:ascii="Arial" w:hAnsi="Arial" w:cs="Arial"/>
                <w:sz w:val="20"/>
                <w:szCs w:val="20"/>
              </w:rPr>
            </w:pPr>
          </w:p>
        </w:tc>
      </w:tr>
      <w:tr w:rsidR="00410074" w:rsidRPr="00393726" w14:paraId="13634439" w14:textId="77777777" w:rsidTr="004F233E">
        <w:trPr>
          <w:cantSplit/>
        </w:trPr>
        <w:tc>
          <w:tcPr>
            <w:tcW w:w="1867" w:type="dxa"/>
            <w:vMerge/>
            <w:tcBorders>
              <w:left w:val="single" w:sz="8" w:space="0" w:color="005DAA"/>
              <w:right w:val="single" w:sz="6" w:space="0" w:color="7BA0CD"/>
            </w:tcBorders>
            <w:shd w:val="clear" w:color="auto" w:fill="D9E2F3" w:themeFill="accent1" w:themeFillTint="33"/>
          </w:tcPr>
          <w:p w14:paraId="6A4D54D2"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33BBFF44"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4E3C9AA9" w14:textId="79543ABF" w:rsidR="00410074" w:rsidRPr="00D81496" w:rsidRDefault="00410074" w:rsidP="00410074">
            <w:pPr>
              <w:spacing w:before="40" w:after="40"/>
              <w:rPr>
                <w:rFonts w:ascii="Arial" w:hAnsi="Arial" w:cs="Arial"/>
                <w:sz w:val="20"/>
                <w:szCs w:val="20"/>
              </w:rPr>
            </w:pPr>
            <w:r w:rsidRPr="00410074">
              <w:rPr>
                <w:rFonts w:ascii="Arial" w:hAnsi="Arial" w:cs="Arial"/>
                <w:sz w:val="20"/>
                <w:szCs w:val="20"/>
              </w:rPr>
              <w:t>Yr 1: Based on the Position Paper, proposals for</w:t>
            </w:r>
            <w:r>
              <w:rPr>
                <w:rFonts w:ascii="Arial" w:hAnsi="Arial" w:cs="Arial"/>
                <w:sz w:val="20"/>
                <w:szCs w:val="20"/>
              </w:rPr>
              <w:t xml:space="preserve"> a holistic harvest strategy.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06061FC3"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33FD3191" w14:textId="77777777" w:rsidR="00410074" w:rsidRPr="00D81496" w:rsidRDefault="00410074" w:rsidP="00306A60">
            <w:pPr>
              <w:spacing w:before="40" w:after="40"/>
              <w:rPr>
                <w:rFonts w:ascii="Arial" w:hAnsi="Arial" w:cs="Arial"/>
                <w:sz w:val="20"/>
                <w:szCs w:val="20"/>
              </w:rPr>
            </w:pPr>
          </w:p>
        </w:tc>
      </w:tr>
      <w:tr w:rsidR="00410074" w:rsidRPr="00393726" w14:paraId="2CA551BF" w14:textId="77777777" w:rsidTr="004F233E">
        <w:trPr>
          <w:cantSplit/>
        </w:trPr>
        <w:tc>
          <w:tcPr>
            <w:tcW w:w="1867" w:type="dxa"/>
            <w:vMerge/>
            <w:tcBorders>
              <w:left w:val="single" w:sz="8" w:space="0" w:color="005DAA"/>
              <w:right w:val="single" w:sz="6" w:space="0" w:color="7BA0CD"/>
            </w:tcBorders>
            <w:shd w:val="clear" w:color="auto" w:fill="D9E2F3" w:themeFill="accent1" w:themeFillTint="33"/>
          </w:tcPr>
          <w:p w14:paraId="623CE931"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55CAD644"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618AC3E5" w14:textId="24DE7624" w:rsidR="00410074" w:rsidRPr="00D81496" w:rsidRDefault="00410074" w:rsidP="00306A60">
            <w:pPr>
              <w:spacing w:before="40" w:after="40"/>
              <w:rPr>
                <w:rFonts w:ascii="Arial" w:hAnsi="Arial" w:cs="Arial"/>
                <w:sz w:val="20"/>
                <w:szCs w:val="20"/>
              </w:rPr>
            </w:pPr>
            <w:r w:rsidRPr="00410074">
              <w:rPr>
                <w:rFonts w:ascii="Arial" w:hAnsi="Arial" w:cs="Arial"/>
                <w:sz w:val="20"/>
                <w:szCs w:val="20"/>
              </w:rPr>
              <w:t>Yr 2: Public consultation and formal acceptance of agreed strategy.</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238A1630"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0381FBCB" w14:textId="77777777" w:rsidR="00410074" w:rsidRPr="00D81496" w:rsidRDefault="00410074" w:rsidP="00306A60">
            <w:pPr>
              <w:spacing w:before="40" w:after="40"/>
              <w:rPr>
                <w:rFonts w:ascii="Arial" w:hAnsi="Arial" w:cs="Arial"/>
                <w:sz w:val="20"/>
                <w:szCs w:val="20"/>
              </w:rPr>
            </w:pPr>
          </w:p>
        </w:tc>
      </w:tr>
      <w:tr w:rsidR="00410074" w:rsidRPr="00393726" w14:paraId="66A11732" w14:textId="77777777" w:rsidTr="004F233E">
        <w:trPr>
          <w:cantSplit/>
        </w:trPr>
        <w:tc>
          <w:tcPr>
            <w:tcW w:w="1867" w:type="dxa"/>
            <w:vMerge w:val="restart"/>
            <w:tcBorders>
              <w:top w:val="single" w:sz="8" w:space="0" w:color="005DAA"/>
              <w:left w:val="single" w:sz="8" w:space="0" w:color="005DAA"/>
              <w:right w:val="single" w:sz="6" w:space="0" w:color="7BA0CD"/>
            </w:tcBorders>
            <w:shd w:val="clear" w:color="auto" w:fill="D9E2F3" w:themeFill="accent1" w:themeFillTint="33"/>
          </w:tcPr>
          <w:p w14:paraId="0C03EE79" w14:textId="77777777" w:rsidR="00410074" w:rsidRPr="00D81496" w:rsidRDefault="00410074" w:rsidP="00306A60">
            <w:pPr>
              <w:spacing w:before="40" w:after="40"/>
              <w:rPr>
                <w:rFonts w:ascii="Arial" w:hAnsi="Arial" w:cs="Arial"/>
                <w:b/>
                <w:color w:val="4C4C4C"/>
                <w:sz w:val="20"/>
                <w:szCs w:val="20"/>
              </w:rPr>
            </w:pPr>
            <w:r w:rsidRPr="00D81496">
              <w:rPr>
                <w:rFonts w:ascii="Arial" w:hAnsi="Arial" w:cs="Arial"/>
                <w:b/>
                <w:color w:val="4C4C4C"/>
                <w:sz w:val="20"/>
                <w:szCs w:val="20"/>
              </w:rPr>
              <w:t>1.2.2 HCRs &amp; tools</w:t>
            </w:r>
          </w:p>
        </w:tc>
        <w:tc>
          <w:tcPr>
            <w:tcW w:w="2126" w:type="dxa"/>
            <w:vMerge w:val="restart"/>
            <w:tcBorders>
              <w:top w:val="single" w:sz="8" w:space="0" w:color="005DAA"/>
              <w:left w:val="single" w:sz="6" w:space="0" w:color="7BA0CD"/>
              <w:right w:val="single" w:sz="6" w:space="0" w:color="7BA0CD"/>
            </w:tcBorders>
            <w:shd w:val="solid" w:color="FFFFFF" w:fill="auto"/>
          </w:tcPr>
          <w:p w14:paraId="0DE03ED9" w14:textId="75D4B6B6" w:rsidR="00410074" w:rsidRPr="00D81496" w:rsidRDefault="00410074" w:rsidP="00306A60">
            <w:pPr>
              <w:spacing w:before="40" w:after="40"/>
              <w:rPr>
                <w:rFonts w:ascii="Arial" w:hAnsi="Arial" w:cs="Arial"/>
                <w:sz w:val="20"/>
                <w:szCs w:val="20"/>
              </w:rPr>
            </w:pPr>
            <w:r>
              <w:rPr>
                <w:rFonts w:ascii="Arial" w:hAnsi="Arial" w:cs="Arial"/>
                <w:sz w:val="20"/>
                <w:szCs w:val="20"/>
              </w:rPr>
              <w:t>Action #2</w:t>
            </w:r>
            <w:r w:rsidRPr="00D81496">
              <w:rPr>
                <w:rFonts w:ascii="Arial" w:hAnsi="Arial" w:cs="Arial"/>
                <w:sz w:val="20"/>
                <w:szCs w:val="20"/>
              </w:rPr>
              <w:t>:  Development of formal harvest control rules</w:t>
            </w: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6ED7C8B8" w14:textId="7409F367" w:rsidR="00410074" w:rsidRPr="00D81496" w:rsidRDefault="00410074" w:rsidP="00410074">
            <w:pPr>
              <w:spacing w:before="40" w:after="40"/>
              <w:rPr>
                <w:rFonts w:ascii="Arial" w:hAnsi="Arial" w:cs="Arial"/>
                <w:sz w:val="20"/>
                <w:szCs w:val="20"/>
              </w:rPr>
            </w:pPr>
            <w:r w:rsidRPr="00410074">
              <w:rPr>
                <w:rFonts w:ascii="Arial" w:hAnsi="Arial" w:cs="Arial"/>
                <w:sz w:val="20"/>
                <w:szCs w:val="20"/>
              </w:rPr>
              <w:t>Yr 1: Develop proposals for harvest control rules, based on the strategies i</w:t>
            </w:r>
            <w:r>
              <w:rPr>
                <w:rFonts w:ascii="Arial" w:hAnsi="Arial" w:cs="Arial"/>
                <w:sz w:val="20"/>
                <w:szCs w:val="20"/>
              </w:rPr>
              <w:t xml:space="preserve">dentified in Action #1 above.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673C3C65"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0CE5CAC8" w14:textId="77777777" w:rsidR="00410074" w:rsidRPr="00D81496" w:rsidRDefault="00410074" w:rsidP="00306A60">
            <w:pPr>
              <w:spacing w:before="40" w:after="40"/>
              <w:rPr>
                <w:rFonts w:ascii="Arial" w:hAnsi="Arial" w:cs="Arial"/>
                <w:sz w:val="20"/>
                <w:szCs w:val="20"/>
              </w:rPr>
            </w:pPr>
          </w:p>
        </w:tc>
      </w:tr>
      <w:tr w:rsidR="00410074" w:rsidRPr="00393726" w14:paraId="2981DC42" w14:textId="77777777" w:rsidTr="004F233E">
        <w:trPr>
          <w:cantSplit/>
        </w:trPr>
        <w:tc>
          <w:tcPr>
            <w:tcW w:w="1867" w:type="dxa"/>
            <w:vMerge/>
            <w:tcBorders>
              <w:left w:val="single" w:sz="8" w:space="0" w:color="005DAA"/>
              <w:right w:val="single" w:sz="6" w:space="0" w:color="7BA0CD"/>
            </w:tcBorders>
            <w:shd w:val="clear" w:color="auto" w:fill="D9E2F3" w:themeFill="accent1" w:themeFillTint="33"/>
          </w:tcPr>
          <w:p w14:paraId="4D03D060"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265DCC57"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7774FACC" w14:textId="6B962935" w:rsidR="00410074" w:rsidRPr="00D81496" w:rsidRDefault="00410074" w:rsidP="00410074">
            <w:pPr>
              <w:spacing w:before="40" w:after="40"/>
              <w:rPr>
                <w:rFonts w:ascii="Arial" w:hAnsi="Arial" w:cs="Arial"/>
                <w:sz w:val="20"/>
                <w:szCs w:val="20"/>
              </w:rPr>
            </w:pPr>
            <w:r w:rsidRPr="00410074">
              <w:rPr>
                <w:rFonts w:ascii="Arial" w:hAnsi="Arial" w:cs="Arial"/>
                <w:sz w:val="20"/>
                <w:szCs w:val="20"/>
              </w:rPr>
              <w:t xml:space="preserve">Yr 2: Proposals put out </w:t>
            </w:r>
            <w:r>
              <w:rPr>
                <w:rFonts w:ascii="Arial" w:hAnsi="Arial" w:cs="Arial"/>
                <w:sz w:val="20"/>
                <w:szCs w:val="20"/>
              </w:rPr>
              <w:t>for consultation and finalised.</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5DC6521A"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1C48A22A" w14:textId="77777777" w:rsidR="00410074" w:rsidRPr="00D81496" w:rsidRDefault="00410074" w:rsidP="00306A60">
            <w:pPr>
              <w:spacing w:before="40" w:after="40"/>
              <w:rPr>
                <w:rFonts w:ascii="Arial" w:hAnsi="Arial" w:cs="Arial"/>
                <w:sz w:val="20"/>
                <w:szCs w:val="20"/>
              </w:rPr>
            </w:pPr>
          </w:p>
        </w:tc>
      </w:tr>
      <w:tr w:rsidR="00410074" w:rsidRPr="00393726" w14:paraId="3C1539DD" w14:textId="77777777" w:rsidTr="004F233E">
        <w:trPr>
          <w:cantSplit/>
        </w:trPr>
        <w:tc>
          <w:tcPr>
            <w:tcW w:w="1867" w:type="dxa"/>
            <w:vMerge/>
            <w:tcBorders>
              <w:left w:val="single" w:sz="8" w:space="0" w:color="005DAA"/>
              <w:right w:val="single" w:sz="6" w:space="0" w:color="7BA0CD"/>
            </w:tcBorders>
            <w:shd w:val="clear" w:color="auto" w:fill="D9E2F3" w:themeFill="accent1" w:themeFillTint="33"/>
          </w:tcPr>
          <w:p w14:paraId="75EB8FE3"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68FBF558"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250010CE" w14:textId="5618C87D" w:rsidR="00410074" w:rsidRPr="00D81496" w:rsidRDefault="00410074" w:rsidP="00410074">
            <w:pPr>
              <w:spacing w:before="40" w:after="40"/>
              <w:rPr>
                <w:rFonts w:ascii="Arial" w:hAnsi="Arial" w:cs="Arial"/>
                <w:sz w:val="20"/>
                <w:szCs w:val="20"/>
              </w:rPr>
            </w:pPr>
            <w:r w:rsidRPr="00410074">
              <w:rPr>
                <w:rFonts w:ascii="Arial" w:hAnsi="Arial" w:cs="Arial"/>
                <w:sz w:val="20"/>
                <w:szCs w:val="20"/>
              </w:rPr>
              <w:t>Yr 3: Improved harvest control regime em</w:t>
            </w:r>
            <w:r>
              <w:rPr>
                <w:rFonts w:ascii="Arial" w:hAnsi="Arial" w:cs="Arial"/>
                <w:sz w:val="20"/>
                <w:szCs w:val="20"/>
              </w:rPr>
              <w:t>bedded in management processes.</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0E916E87"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7C49F3A7" w14:textId="77777777" w:rsidR="00410074" w:rsidRPr="00D81496" w:rsidRDefault="00410074" w:rsidP="00306A60">
            <w:pPr>
              <w:spacing w:before="40" w:after="40"/>
              <w:rPr>
                <w:rFonts w:ascii="Arial" w:hAnsi="Arial" w:cs="Arial"/>
                <w:sz w:val="20"/>
                <w:szCs w:val="20"/>
              </w:rPr>
            </w:pPr>
          </w:p>
        </w:tc>
      </w:tr>
      <w:tr w:rsidR="00410074" w:rsidRPr="00393726" w14:paraId="236369C9" w14:textId="77777777" w:rsidTr="004F233E">
        <w:trPr>
          <w:cantSplit/>
        </w:trPr>
        <w:tc>
          <w:tcPr>
            <w:tcW w:w="1867" w:type="dxa"/>
            <w:vMerge/>
            <w:tcBorders>
              <w:left w:val="single" w:sz="8" w:space="0" w:color="005DAA"/>
              <w:bottom w:val="single" w:sz="8" w:space="0" w:color="005DAA"/>
              <w:right w:val="single" w:sz="6" w:space="0" w:color="7BA0CD"/>
            </w:tcBorders>
            <w:shd w:val="clear" w:color="auto" w:fill="D9E2F3" w:themeFill="accent1" w:themeFillTint="33"/>
          </w:tcPr>
          <w:p w14:paraId="1559B837"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bottom w:val="single" w:sz="8" w:space="0" w:color="005DAA"/>
              <w:right w:val="single" w:sz="6" w:space="0" w:color="7BA0CD"/>
            </w:tcBorders>
            <w:shd w:val="solid" w:color="FFFFFF" w:fill="auto"/>
          </w:tcPr>
          <w:p w14:paraId="2DFCE328"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59A352D1" w14:textId="10536774" w:rsidR="00410074" w:rsidRPr="00D81496" w:rsidRDefault="00410074" w:rsidP="00306A60">
            <w:pPr>
              <w:spacing w:before="40" w:after="40"/>
              <w:rPr>
                <w:rFonts w:ascii="Arial" w:hAnsi="Arial" w:cs="Arial"/>
                <w:sz w:val="20"/>
                <w:szCs w:val="20"/>
              </w:rPr>
            </w:pPr>
            <w:r w:rsidRPr="00410074">
              <w:rPr>
                <w:rFonts w:ascii="Arial" w:hAnsi="Arial" w:cs="Arial"/>
                <w:sz w:val="20"/>
                <w:szCs w:val="20"/>
              </w:rPr>
              <w:t xml:space="preserve">Yr 4. Review and finalisation of harvest control rules.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69ACFB3B"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2C2F0870" w14:textId="77777777" w:rsidR="00410074" w:rsidRPr="00D81496" w:rsidRDefault="00410074" w:rsidP="00306A60">
            <w:pPr>
              <w:spacing w:before="40" w:after="40"/>
              <w:rPr>
                <w:rFonts w:ascii="Arial" w:hAnsi="Arial" w:cs="Arial"/>
                <w:sz w:val="20"/>
                <w:szCs w:val="20"/>
              </w:rPr>
            </w:pPr>
          </w:p>
        </w:tc>
      </w:tr>
      <w:tr w:rsidR="00410074" w:rsidRPr="00393726" w14:paraId="2567B2C8" w14:textId="77777777" w:rsidTr="004F233E">
        <w:trPr>
          <w:cantSplit/>
          <w:trHeight w:val="835"/>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4FBB81CC" w14:textId="03AC86BF" w:rsidR="00410074" w:rsidRPr="00D81496" w:rsidRDefault="00410074" w:rsidP="00306A60">
            <w:pPr>
              <w:spacing w:before="40" w:after="40"/>
              <w:rPr>
                <w:rFonts w:ascii="Arial" w:hAnsi="Arial" w:cs="Arial"/>
                <w:b/>
                <w:color w:val="4C4C4C"/>
                <w:sz w:val="20"/>
                <w:szCs w:val="20"/>
              </w:rPr>
            </w:pPr>
            <w:r w:rsidRPr="00410074">
              <w:rPr>
                <w:rFonts w:ascii="Arial" w:hAnsi="Arial" w:cs="Arial"/>
                <w:b/>
                <w:color w:val="4C4C4C"/>
                <w:sz w:val="20"/>
                <w:szCs w:val="20"/>
              </w:rPr>
              <w:t xml:space="preserve">2.1.2 Primary </w:t>
            </w:r>
            <w:r>
              <w:rPr>
                <w:rFonts w:ascii="Arial" w:hAnsi="Arial" w:cs="Arial"/>
                <w:b/>
                <w:color w:val="4C4C4C"/>
                <w:sz w:val="20"/>
                <w:szCs w:val="20"/>
              </w:rPr>
              <w:t>&amp;</w:t>
            </w:r>
            <w:r w:rsidRPr="00410074">
              <w:rPr>
                <w:rFonts w:ascii="Arial" w:hAnsi="Arial" w:cs="Arial"/>
                <w:b/>
                <w:color w:val="4C4C4C"/>
                <w:sz w:val="20"/>
                <w:szCs w:val="20"/>
              </w:rPr>
              <w:t xml:space="preserve"> 2.2.2 Secondary species management strategy</w:t>
            </w:r>
          </w:p>
        </w:tc>
        <w:tc>
          <w:tcPr>
            <w:tcW w:w="2126" w:type="dxa"/>
            <w:vMerge w:val="restart"/>
            <w:tcBorders>
              <w:top w:val="single" w:sz="8" w:space="0" w:color="005DAA"/>
              <w:left w:val="single" w:sz="6" w:space="0" w:color="7BA0CD"/>
              <w:right w:val="single" w:sz="6" w:space="0" w:color="7BA0CD"/>
            </w:tcBorders>
            <w:shd w:val="solid" w:color="FFFFFF" w:fill="auto"/>
          </w:tcPr>
          <w:p w14:paraId="676F516A" w14:textId="25BF596C" w:rsidR="00410074" w:rsidRPr="00D81496" w:rsidRDefault="00410074" w:rsidP="00306A60">
            <w:pPr>
              <w:spacing w:before="40" w:after="40"/>
              <w:rPr>
                <w:rFonts w:ascii="Arial" w:hAnsi="Arial" w:cs="Arial"/>
                <w:sz w:val="20"/>
                <w:szCs w:val="20"/>
              </w:rPr>
            </w:pPr>
            <w:r>
              <w:rPr>
                <w:rFonts w:ascii="Arial" w:hAnsi="Arial" w:cs="Arial"/>
                <w:sz w:val="20"/>
                <w:szCs w:val="20"/>
              </w:rPr>
              <w:t xml:space="preserve">Action #3: </w:t>
            </w:r>
            <w:r w:rsidR="00A44291">
              <w:rPr>
                <w:rFonts w:ascii="Arial" w:hAnsi="Arial" w:cs="Arial"/>
                <w:sz w:val="20"/>
                <w:szCs w:val="20"/>
              </w:rPr>
              <w:t>R</w:t>
            </w:r>
            <w:r w:rsidRPr="00410074">
              <w:rPr>
                <w:rFonts w:ascii="Arial" w:hAnsi="Arial" w:cs="Arial"/>
                <w:sz w:val="20"/>
                <w:szCs w:val="20"/>
              </w:rPr>
              <w:t xml:space="preserve">eview alternative management measures to minimise mortality of all non-target </w:t>
            </w:r>
            <w:r>
              <w:rPr>
                <w:rFonts w:ascii="Arial" w:hAnsi="Arial" w:cs="Arial"/>
                <w:sz w:val="20"/>
                <w:szCs w:val="20"/>
              </w:rPr>
              <w:t>1°</w:t>
            </w:r>
            <w:r w:rsidRPr="00410074">
              <w:rPr>
                <w:rFonts w:ascii="Arial" w:hAnsi="Arial" w:cs="Arial"/>
                <w:sz w:val="20"/>
                <w:szCs w:val="20"/>
              </w:rPr>
              <w:t xml:space="preserve"> </w:t>
            </w:r>
            <w:r>
              <w:rPr>
                <w:rFonts w:ascii="Arial" w:hAnsi="Arial" w:cs="Arial"/>
                <w:sz w:val="20"/>
                <w:szCs w:val="20"/>
              </w:rPr>
              <w:t>&amp;</w:t>
            </w:r>
            <w:r w:rsidRPr="00410074">
              <w:rPr>
                <w:rFonts w:ascii="Arial" w:hAnsi="Arial" w:cs="Arial"/>
                <w:sz w:val="20"/>
                <w:szCs w:val="20"/>
              </w:rPr>
              <w:t xml:space="preserve"> </w:t>
            </w:r>
            <w:r>
              <w:rPr>
                <w:rFonts w:ascii="Arial" w:hAnsi="Arial" w:cs="Arial"/>
                <w:sz w:val="20"/>
                <w:szCs w:val="20"/>
              </w:rPr>
              <w:t>2° </w:t>
            </w:r>
            <w:r w:rsidRPr="00410074">
              <w:rPr>
                <w:rFonts w:ascii="Arial" w:hAnsi="Arial" w:cs="Arial"/>
                <w:sz w:val="20"/>
                <w:szCs w:val="20"/>
              </w:rPr>
              <w:t>species</w:t>
            </w: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34933556" w14:textId="71EE1A3B" w:rsidR="00410074" w:rsidRPr="00D81496" w:rsidRDefault="00A44291" w:rsidP="00A44291">
            <w:pPr>
              <w:spacing w:before="40" w:after="40"/>
              <w:rPr>
                <w:rFonts w:ascii="Arial" w:hAnsi="Arial" w:cs="Arial"/>
                <w:sz w:val="20"/>
                <w:szCs w:val="20"/>
              </w:rPr>
            </w:pPr>
            <w:r w:rsidRPr="00A44291">
              <w:rPr>
                <w:rFonts w:ascii="Arial" w:hAnsi="Arial" w:cs="Arial"/>
                <w:sz w:val="20"/>
                <w:szCs w:val="20"/>
              </w:rPr>
              <w:t>6 months: Conduct review of alternative management m</w:t>
            </w:r>
            <w:r>
              <w:rPr>
                <w:rFonts w:ascii="Arial" w:hAnsi="Arial" w:cs="Arial"/>
                <w:sz w:val="20"/>
                <w:szCs w:val="20"/>
              </w:rPr>
              <w:t>easures for non-target species.</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0E71F851"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454FE742" w14:textId="77777777" w:rsidR="00410074" w:rsidRPr="00D81496" w:rsidRDefault="00410074" w:rsidP="00306A60">
            <w:pPr>
              <w:spacing w:before="40" w:after="40"/>
              <w:rPr>
                <w:rFonts w:ascii="Arial" w:hAnsi="Arial" w:cs="Arial"/>
                <w:sz w:val="20"/>
                <w:szCs w:val="20"/>
              </w:rPr>
            </w:pPr>
          </w:p>
        </w:tc>
      </w:tr>
      <w:tr w:rsidR="00410074" w:rsidRPr="00393726" w14:paraId="23C4C6E5" w14:textId="77777777" w:rsidTr="004F233E">
        <w:trPr>
          <w:cantSplit/>
          <w:trHeight w:val="835"/>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4296B915"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bottom w:val="single" w:sz="8" w:space="0" w:color="005DAA"/>
              <w:right w:val="single" w:sz="6" w:space="0" w:color="7BA0CD"/>
            </w:tcBorders>
            <w:shd w:val="solid" w:color="FFFFFF" w:fill="auto"/>
          </w:tcPr>
          <w:p w14:paraId="2B47445B"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681615D9" w14:textId="3793AB54" w:rsidR="00410074" w:rsidRPr="00D81496" w:rsidRDefault="00A44291" w:rsidP="00306A60">
            <w:pPr>
              <w:spacing w:before="40" w:after="40"/>
              <w:rPr>
                <w:rFonts w:ascii="Arial" w:hAnsi="Arial" w:cs="Arial"/>
                <w:sz w:val="20"/>
                <w:szCs w:val="20"/>
              </w:rPr>
            </w:pPr>
            <w:r w:rsidRPr="00A44291">
              <w:rPr>
                <w:rFonts w:ascii="Arial" w:hAnsi="Arial" w:cs="Arial"/>
                <w:sz w:val="20"/>
                <w:szCs w:val="20"/>
              </w:rPr>
              <w:t xml:space="preserve">Yr 1: Mainstreaming of alternative measures into management.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325107EA"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69A96CEE" w14:textId="77777777" w:rsidR="00410074" w:rsidRPr="00D81496" w:rsidRDefault="00410074" w:rsidP="00306A60">
            <w:pPr>
              <w:spacing w:before="40" w:after="40"/>
              <w:rPr>
                <w:rFonts w:ascii="Arial" w:hAnsi="Arial" w:cs="Arial"/>
                <w:sz w:val="20"/>
                <w:szCs w:val="20"/>
              </w:rPr>
            </w:pPr>
          </w:p>
        </w:tc>
      </w:tr>
      <w:tr w:rsidR="00A44291" w:rsidRPr="00D81496" w14:paraId="170DE8E6" w14:textId="77777777" w:rsidTr="004F233E">
        <w:trPr>
          <w:cantSplit/>
          <w:trHeight w:val="550"/>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7CE81001" w14:textId="0B8CC100" w:rsidR="00A44291" w:rsidRPr="00D81496" w:rsidRDefault="00A44291" w:rsidP="00306A60">
            <w:pPr>
              <w:spacing w:before="40" w:after="40"/>
              <w:rPr>
                <w:rFonts w:ascii="Arial" w:hAnsi="Arial" w:cs="Arial"/>
                <w:b/>
                <w:color w:val="4C4C4C"/>
                <w:sz w:val="20"/>
                <w:szCs w:val="20"/>
              </w:rPr>
            </w:pPr>
            <w:r w:rsidRPr="00A44291">
              <w:rPr>
                <w:rFonts w:ascii="Arial" w:hAnsi="Arial" w:cs="Arial"/>
                <w:b/>
                <w:color w:val="4C4C4C"/>
                <w:sz w:val="20"/>
                <w:szCs w:val="20"/>
              </w:rPr>
              <w:t>2.2.3 Information (secondary species)</w:t>
            </w:r>
          </w:p>
        </w:tc>
        <w:tc>
          <w:tcPr>
            <w:tcW w:w="2126" w:type="dxa"/>
            <w:vMerge w:val="restart"/>
            <w:tcBorders>
              <w:top w:val="single" w:sz="8" w:space="0" w:color="005DAA"/>
              <w:left w:val="single" w:sz="6" w:space="0" w:color="7BA0CD"/>
              <w:right w:val="single" w:sz="6" w:space="0" w:color="7BA0CD"/>
            </w:tcBorders>
            <w:shd w:val="solid" w:color="FFFFFF" w:fill="auto"/>
          </w:tcPr>
          <w:p w14:paraId="6DBAEF5F" w14:textId="721B8FB6" w:rsidR="00A44291" w:rsidRPr="00D81496" w:rsidRDefault="00A44291" w:rsidP="00306A60">
            <w:pPr>
              <w:spacing w:before="40" w:after="40"/>
              <w:rPr>
                <w:rFonts w:ascii="Arial" w:hAnsi="Arial" w:cs="Arial"/>
                <w:sz w:val="20"/>
                <w:szCs w:val="20"/>
              </w:rPr>
            </w:pPr>
            <w:r>
              <w:rPr>
                <w:rFonts w:ascii="Arial" w:hAnsi="Arial" w:cs="Arial"/>
                <w:sz w:val="20"/>
                <w:szCs w:val="20"/>
              </w:rPr>
              <w:t xml:space="preserve">Action #4: </w:t>
            </w:r>
            <w:r w:rsidRPr="00A44291">
              <w:rPr>
                <w:rFonts w:ascii="Arial" w:hAnsi="Arial" w:cs="Arial"/>
                <w:sz w:val="20"/>
                <w:szCs w:val="20"/>
              </w:rPr>
              <w:t xml:space="preserve">Information available on </w:t>
            </w:r>
            <w:r w:rsidR="00877B29">
              <w:rPr>
                <w:rFonts w:ascii="Arial" w:hAnsi="Arial" w:cs="Arial"/>
                <w:sz w:val="20"/>
                <w:szCs w:val="20"/>
              </w:rPr>
              <w:t>2°</w:t>
            </w:r>
            <w:r w:rsidRPr="00A44291">
              <w:rPr>
                <w:rFonts w:ascii="Arial" w:hAnsi="Arial" w:cs="Arial"/>
                <w:sz w:val="20"/>
                <w:szCs w:val="20"/>
              </w:rPr>
              <w:t xml:space="preserve"> species caught by the fisheries quantified </w:t>
            </w:r>
            <w:r w:rsidR="00877B29">
              <w:rPr>
                <w:rFonts w:ascii="Arial" w:hAnsi="Arial" w:cs="Arial"/>
                <w:sz w:val="20"/>
                <w:szCs w:val="20"/>
              </w:rPr>
              <w:t>&amp;</w:t>
            </w:r>
            <w:r w:rsidRPr="00A44291">
              <w:rPr>
                <w:rFonts w:ascii="Arial" w:hAnsi="Arial" w:cs="Arial"/>
                <w:sz w:val="20"/>
                <w:szCs w:val="20"/>
              </w:rPr>
              <w:t xml:space="preserve"> made available to managers.  </w:t>
            </w: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377DF6D7" w14:textId="6371B24D" w:rsidR="00A44291" w:rsidRPr="00D81496" w:rsidRDefault="00A44291" w:rsidP="00A44291">
            <w:pPr>
              <w:spacing w:before="40" w:after="40"/>
              <w:rPr>
                <w:rFonts w:ascii="Arial" w:hAnsi="Arial" w:cs="Arial"/>
                <w:sz w:val="20"/>
                <w:szCs w:val="20"/>
              </w:rPr>
            </w:pPr>
            <w:r w:rsidRPr="00A44291">
              <w:rPr>
                <w:rFonts w:ascii="Arial" w:hAnsi="Arial" w:cs="Arial"/>
                <w:sz w:val="20"/>
                <w:szCs w:val="20"/>
              </w:rPr>
              <w:t>Yr 0: Risk assessment based upon</w:t>
            </w:r>
            <w:r>
              <w:rPr>
                <w:rFonts w:ascii="Arial" w:hAnsi="Arial" w:cs="Arial"/>
                <w:sz w:val="20"/>
                <w:szCs w:val="20"/>
              </w:rPr>
              <w:t xml:space="preserve"> SeaScope FR and other sources.</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76735C29" w14:textId="77777777" w:rsidR="00A44291" w:rsidRPr="00D81496" w:rsidRDefault="00A44291"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42A38ABA" w14:textId="77777777" w:rsidR="00A44291" w:rsidRPr="00D81496" w:rsidRDefault="00A44291" w:rsidP="00306A60">
            <w:pPr>
              <w:spacing w:before="40" w:after="40"/>
              <w:rPr>
                <w:rFonts w:ascii="Arial" w:hAnsi="Arial" w:cs="Arial"/>
                <w:sz w:val="20"/>
                <w:szCs w:val="20"/>
              </w:rPr>
            </w:pPr>
          </w:p>
        </w:tc>
      </w:tr>
      <w:tr w:rsidR="00A44291" w:rsidRPr="00D81496" w14:paraId="7A17C0DE" w14:textId="77777777" w:rsidTr="004F233E">
        <w:trPr>
          <w:cantSplit/>
          <w:trHeight w:val="550"/>
        </w:trPr>
        <w:tc>
          <w:tcPr>
            <w:tcW w:w="1867" w:type="dxa"/>
            <w:vMerge/>
            <w:tcBorders>
              <w:left w:val="single" w:sz="8" w:space="0" w:color="005DAA"/>
              <w:right w:val="single" w:sz="6" w:space="0" w:color="7BA0CD"/>
            </w:tcBorders>
            <w:shd w:val="clear" w:color="auto" w:fill="E2EFD9" w:themeFill="accent6" w:themeFillTint="33"/>
          </w:tcPr>
          <w:p w14:paraId="514E2A2D" w14:textId="77777777" w:rsidR="00A44291" w:rsidRPr="00D81496" w:rsidRDefault="00A44291"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3EB4ED12" w14:textId="77777777" w:rsidR="00A44291" w:rsidRPr="00D81496" w:rsidRDefault="00A44291"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3DF79485" w14:textId="397F59FD" w:rsidR="00A44291" w:rsidRPr="00D81496" w:rsidRDefault="00A44291" w:rsidP="00A44291">
            <w:pPr>
              <w:spacing w:before="40" w:after="40"/>
              <w:rPr>
                <w:rFonts w:ascii="Arial" w:hAnsi="Arial" w:cs="Arial"/>
                <w:sz w:val="20"/>
                <w:szCs w:val="20"/>
              </w:rPr>
            </w:pPr>
            <w:r w:rsidRPr="00A44291">
              <w:rPr>
                <w:rFonts w:ascii="Arial" w:hAnsi="Arial" w:cs="Arial"/>
                <w:sz w:val="20"/>
                <w:szCs w:val="20"/>
              </w:rPr>
              <w:t>Yr 1: Based on the risk assessment, further data collection (1° or 2°) as require</w:t>
            </w:r>
            <w:r>
              <w:rPr>
                <w:rFonts w:ascii="Arial" w:hAnsi="Arial" w:cs="Arial"/>
                <w:sz w:val="20"/>
                <w:szCs w:val="20"/>
              </w:rPr>
              <w:t>d (possibly via FSP funding).</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5E098902" w14:textId="77777777" w:rsidR="00A44291" w:rsidRPr="00D81496" w:rsidRDefault="00A44291"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2ED9F1A3" w14:textId="77777777" w:rsidR="00A44291" w:rsidRPr="00D81496" w:rsidRDefault="00A44291" w:rsidP="00306A60">
            <w:pPr>
              <w:spacing w:before="40" w:after="40"/>
              <w:rPr>
                <w:rFonts w:ascii="Arial" w:hAnsi="Arial" w:cs="Arial"/>
                <w:sz w:val="20"/>
                <w:szCs w:val="20"/>
              </w:rPr>
            </w:pPr>
          </w:p>
        </w:tc>
      </w:tr>
      <w:tr w:rsidR="00A44291" w:rsidRPr="00D81496" w14:paraId="45ADDC42" w14:textId="77777777" w:rsidTr="004F233E">
        <w:trPr>
          <w:cantSplit/>
          <w:trHeight w:val="550"/>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7C4F0FDD" w14:textId="77777777" w:rsidR="00A44291" w:rsidRPr="00D81496" w:rsidRDefault="00A44291" w:rsidP="00306A60">
            <w:pPr>
              <w:spacing w:before="40" w:after="40"/>
              <w:rPr>
                <w:rFonts w:ascii="Arial" w:hAnsi="Arial" w:cs="Arial"/>
                <w:b/>
                <w:color w:val="4C4C4C"/>
                <w:sz w:val="20"/>
                <w:szCs w:val="20"/>
              </w:rPr>
            </w:pPr>
          </w:p>
        </w:tc>
        <w:tc>
          <w:tcPr>
            <w:tcW w:w="2126" w:type="dxa"/>
            <w:vMerge/>
            <w:tcBorders>
              <w:left w:val="single" w:sz="6" w:space="0" w:color="7BA0CD"/>
              <w:bottom w:val="single" w:sz="8" w:space="0" w:color="005DAA"/>
              <w:right w:val="single" w:sz="6" w:space="0" w:color="7BA0CD"/>
            </w:tcBorders>
            <w:shd w:val="solid" w:color="FFFFFF" w:fill="auto"/>
          </w:tcPr>
          <w:p w14:paraId="00207E03" w14:textId="77777777" w:rsidR="00A44291" w:rsidRPr="00D81496" w:rsidRDefault="00A44291"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798EDBC7" w14:textId="59689F68" w:rsidR="00A44291" w:rsidRPr="00D81496" w:rsidRDefault="00A44291" w:rsidP="00306A60">
            <w:pPr>
              <w:spacing w:before="40" w:after="40"/>
              <w:rPr>
                <w:rFonts w:ascii="Arial" w:hAnsi="Arial" w:cs="Arial"/>
                <w:sz w:val="20"/>
                <w:szCs w:val="20"/>
              </w:rPr>
            </w:pPr>
            <w:r w:rsidRPr="00A44291">
              <w:rPr>
                <w:rFonts w:ascii="Arial" w:hAnsi="Arial" w:cs="Arial"/>
                <w:sz w:val="20"/>
                <w:szCs w:val="20"/>
              </w:rPr>
              <w:t xml:space="preserve">Yr 2. Formal report published.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78926551" w14:textId="77777777" w:rsidR="00A44291" w:rsidRPr="00D81496" w:rsidRDefault="00A44291"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2345BE9A" w14:textId="77777777" w:rsidR="00A44291" w:rsidRPr="00D81496" w:rsidRDefault="00A44291" w:rsidP="00306A60">
            <w:pPr>
              <w:spacing w:before="40" w:after="40"/>
              <w:rPr>
                <w:rFonts w:ascii="Arial" w:hAnsi="Arial" w:cs="Arial"/>
                <w:sz w:val="20"/>
                <w:szCs w:val="20"/>
              </w:rPr>
            </w:pPr>
          </w:p>
        </w:tc>
      </w:tr>
      <w:tr w:rsidR="00410074" w:rsidRPr="00393726" w14:paraId="196E4D3B" w14:textId="77777777" w:rsidTr="004F233E">
        <w:trPr>
          <w:cantSplit/>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4F0F1043" w14:textId="77777777" w:rsidR="00410074" w:rsidRPr="00D81496" w:rsidRDefault="00410074" w:rsidP="00306A60">
            <w:pPr>
              <w:spacing w:before="40" w:after="40"/>
              <w:rPr>
                <w:rFonts w:ascii="Arial" w:hAnsi="Arial" w:cs="Arial"/>
                <w:b/>
                <w:color w:val="4C4C4C"/>
                <w:sz w:val="20"/>
                <w:szCs w:val="20"/>
              </w:rPr>
            </w:pPr>
            <w:r w:rsidRPr="00D81496">
              <w:rPr>
                <w:rFonts w:ascii="Arial" w:hAnsi="Arial" w:cs="Arial"/>
                <w:b/>
                <w:color w:val="4C4C4C"/>
                <w:sz w:val="20"/>
                <w:szCs w:val="20"/>
              </w:rPr>
              <w:t>2.3.1, 2.3.2, 2.3.3 ETP species outcome, management &amp; information</w:t>
            </w:r>
          </w:p>
        </w:tc>
        <w:tc>
          <w:tcPr>
            <w:tcW w:w="2126" w:type="dxa"/>
            <w:vMerge w:val="restart"/>
            <w:tcBorders>
              <w:top w:val="single" w:sz="8" w:space="0" w:color="005DAA"/>
              <w:left w:val="single" w:sz="6" w:space="0" w:color="7BA0CD"/>
              <w:right w:val="single" w:sz="6" w:space="0" w:color="7BA0CD"/>
            </w:tcBorders>
            <w:shd w:val="solid" w:color="FFFFFF" w:fill="auto"/>
          </w:tcPr>
          <w:p w14:paraId="0FEFC8B6" w14:textId="09221789" w:rsidR="00410074" w:rsidRPr="00D81496" w:rsidRDefault="00410074" w:rsidP="00306A60">
            <w:pPr>
              <w:spacing w:before="40" w:after="40"/>
              <w:rPr>
                <w:rFonts w:ascii="Arial" w:hAnsi="Arial" w:cs="Arial"/>
                <w:sz w:val="20"/>
                <w:szCs w:val="20"/>
              </w:rPr>
            </w:pPr>
            <w:r w:rsidRPr="00D81496">
              <w:rPr>
                <w:rFonts w:ascii="Arial" w:hAnsi="Arial" w:cs="Arial"/>
                <w:sz w:val="20"/>
                <w:szCs w:val="20"/>
              </w:rPr>
              <w:t>Action #</w:t>
            </w:r>
            <w:r w:rsidR="00877B29">
              <w:rPr>
                <w:rFonts w:ascii="Arial" w:hAnsi="Arial" w:cs="Arial"/>
                <w:sz w:val="20"/>
                <w:szCs w:val="20"/>
              </w:rPr>
              <w:t>5</w:t>
            </w:r>
            <w:r w:rsidRPr="00D81496">
              <w:rPr>
                <w:rFonts w:ascii="Arial" w:hAnsi="Arial" w:cs="Arial"/>
                <w:sz w:val="20"/>
                <w:szCs w:val="20"/>
              </w:rPr>
              <w:t xml:space="preserve">: Gather additional information on nature &amp; scale of ETP interactions and impacts.  </w:t>
            </w: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7CF3B6F2" w14:textId="7D844B9D" w:rsidR="00410074" w:rsidRPr="00D81496" w:rsidRDefault="003F4E0D" w:rsidP="003F4E0D">
            <w:pPr>
              <w:spacing w:before="40" w:after="40"/>
              <w:rPr>
                <w:rFonts w:ascii="Arial" w:hAnsi="Arial" w:cs="Arial"/>
                <w:sz w:val="20"/>
                <w:szCs w:val="20"/>
              </w:rPr>
            </w:pPr>
            <w:r w:rsidRPr="003F4E0D">
              <w:rPr>
                <w:rFonts w:ascii="Arial" w:hAnsi="Arial" w:cs="Arial"/>
                <w:sz w:val="20"/>
                <w:szCs w:val="20"/>
              </w:rPr>
              <w:t>Yr 0: GIS-based risk assessment.  Listing of potential ETPs interacting with UoAs, and then mapping of ETP distribution ove</w:t>
            </w:r>
            <w:r>
              <w:rPr>
                <w:rFonts w:ascii="Arial" w:hAnsi="Arial" w:cs="Arial"/>
                <w:sz w:val="20"/>
                <w:szCs w:val="20"/>
              </w:rPr>
              <w:t xml:space="preserve">rlap with UoA potting effort.  </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2CBE5109"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1C378822" w14:textId="77777777" w:rsidR="00410074" w:rsidRPr="00D81496" w:rsidRDefault="00410074" w:rsidP="00306A60">
            <w:pPr>
              <w:spacing w:before="40" w:after="40"/>
              <w:rPr>
                <w:rFonts w:ascii="Arial" w:hAnsi="Arial" w:cs="Arial"/>
                <w:sz w:val="20"/>
                <w:szCs w:val="20"/>
              </w:rPr>
            </w:pPr>
          </w:p>
        </w:tc>
      </w:tr>
      <w:tr w:rsidR="00410074" w:rsidRPr="00393726" w14:paraId="0D61B484" w14:textId="77777777" w:rsidTr="004F233E">
        <w:trPr>
          <w:cantSplit/>
        </w:trPr>
        <w:tc>
          <w:tcPr>
            <w:tcW w:w="1867" w:type="dxa"/>
            <w:vMerge/>
            <w:tcBorders>
              <w:left w:val="single" w:sz="8" w:space="0" w:color="005DAA"/>
              <w:right w:val="single" w:sz="6" w:space="0" w:color="7BA0CD"/>
            </w:tcBorders>
            <w:shd w:val="clear" w:color="auto" w:fill="E2EFD9" w:themeFill="accent6" w:themeFillTint="33"/>
          </w:tcPr>
          <w:p w14:paraId="379591D9"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0008FB44"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739C137A" w14:textId="3489D237" w:rsidR="00410074" w:rsidRPr="00D81496" w:rsidRDefault="003F4E0D" w:rsidP="003F4E0D">
            <w:pPr>
              <w:spacing w:before="40" w:after="40"/>
              <w:rPr>
                <w:rFonts w:ascii="Arial" w:hAnsi="Arial" w:cs="Arial"/>
                <w:sz w:val="20"/>
                <w:szCs w:val="20"/>
              </w:rPr>
            </w:pPr>
            <w:r w:rsidRPr="003F4E0D">
              <w:rPr>
                <w:rFonts w:ascii="Arial" w:hAnsi="Arial" w:cs="Arial"/>
                <w:sz w:val="20"/>
                <w:szCs w:val="20"/>
              </w:rPr>
              <w:t>Yr 1. Based on the risk assessment, further data collection (1° or 2°) as requi</w:t>
            </w:r>
            <w:r>
              <w:rPr>
                <w:rFonts w:ascii="Arial" w:hAnsi="Arial" w:cs="Arial"/>
                <w:sz w:val="20"/>
                <w:szCs w:val="20"/>
              </w:rPr>
              <w:t>red (possibly via FSP funding).</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45A41CDE"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43F44757" w14:textId="77777777" w:rsidR="00410074" w:rsidRPr="00D81496" w:rsidRDefault="00410074" w:rsidP="00306A60">
            <w:pPr>
              <w:spacing w:before="40" w:after="40"/>
              <w:rPr>
                <w:rFonts w:ascii="Arial" w:hAnsi="Arial" w:cs="Arial"/>
                <w:sz w:val="20"/>
                <w:szCs w:val="20"/>
              </w:rPr>
            </w:pPr>
          </w:p>
        </w:tc>
      </w:tr>
      <w:tr w:rsidR="00410074" w:rsidRPr="00393726" w14:paraId="497D1E4B" w14:textId="77777777" w:rsidTr="004F233E">
        <w:trPr>
          <w:cantSplit/>
        </w:trPr>
        <w:tc>
          <w:tcPr>
            <w:tcW w:w="1867" w:type="dxa"/>
            <w:vMerge/>
            <w:tcBorders>
              <w:left w:val="single" w:sz="8" w:space="0" w:color="005DAA"/>
              <w:right w:val="single" w:sz="6" w:space="0" w:color="7BA0CD"/>
            </w:tcBorders>
            <w:shd w:val="clear" w:color="auto" w:fill="E2EFD9" w:themeFill="accent6" w:themeFillTint="33"/>
          </w:tcPr>
          <w:p w14:paraId="7856F29B"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right w:val="single" w:sz="6" w:space="0" w:color="7BA0CD"/>
            </w:tcBorders>
            <w:shd w:val="solid" w:color="FFFFFF" w:fill="auto"/>
          </w:tcPr>
          <w:p w14:paraId="3AA62F87"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147A1467" w14:textId="056EACE0" w:rsidR="00410074" w:rsidRPr="00D81496" w:rsidRDefault="003F4E0D" w:rsidP="003F4E0D">
            <w:pPr>
              <w:spacing w:before="40" w:after="40"/>
              <w:rPr>
                <w:rFonts w:ascii="Arial" w:hAnsi="Arial" w:cs="Arial"/>
                <w:sz w:val="20"/>
                <w:szCs w:val="20"/>
              </w:rPr>
            </w:pPr>
            <w:r w:rsidRPr="003F4E0D">
              <w:rPr>
                <w:rFonts w:ascii="Arial" w:hAnsi="Arial" w:cs="Arial"/>
                <w:sz w:val="20"/>
                <w:szCs w:val="20"/>
              </w:rPr>
              <w:t>Yr 2: Based on the ETP risk assessment and additional data, identification of interactions with ETPs and consequences for ETP populations and the development of possible management approaches for reduci</w:t>
            </w:r>
            <w:r>
              <w:rPr>
                <w:rFonts w:ascii="Arial" w:hAnsi="Arial" w:cs="Arial"/>
                <w:sz w:val="20"/>
                <w:szCs w:val="20"/>
              </w:rPr>
              <w:t>ng ETP interactions and impacts</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2A6D7C66"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454A2BBF" w14:textId="77777777" w:rsidR="00410074" w:rsidRPr="00D81496" w:rsidRDefault="00410074" w:rsidP="00306A60">
            <w:pPr>
              <w:spacing w:before="40" w:after="40"/>
              <w:rPr>
                <w:rFonts w:ascii="Arial" w:hAnsi="Arial" w:cs="Arial"/>
                <w:sz w:val="20"/>
                <w:szCs w:val="20"/>
              </w:rPr>
            </w:pPr>
          </w:p>
        </w:tc>
      </w:tr>
      <w:tr w:rsidR="00410074" w:rsidRPr="00393726" w14:paraId="2AB2BC50" w14:textId="77777777" w:rsidTr="004F233E">
        <w:trPr>
          <w:cantSplit/>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60001044" w14:textId="77777777" w:rsidR="00410074" w:rsidRPr="00D81496" w:rsidRDefault="00410074" w:rsidP="00306A60">
            <w:pPr>
              <w:spacing w:before="40" w:after="40"/>
              <w:rPr>
                <w:rFonts w:ascii="Arial" w:hAnsi="Arial" w:cs="Arial"/>
                <w:b/>
                <w:color w:val="4C4C4C"/>
                <w:sz w:val="20"/>
                <w:szCs w:val="20"/>
              </w:rPr>
            </w:pPr>
          </w:p>
        </w:tc>
        <w:tc>
          <w:tcPr>
            <w:tcW w:w="2126" w:type="dxa"/>
            <w:vMerge/>
            <w:tcBorders>
              <w:left w:val="single" w:sz="6" w:space="0" w:color="7BA0CD"/>
              <w:bottom w:val="single" w:sz="8" w:space="0" w:color="005DAA"/>
              <w:right w:val="single" w:sz="6" w:space="0" w:color="7BA0CD"/>
            </w:tcBorders>
            <w:shd w:val="solid" w:color="FFFFFF" w:fill="auto"/>
          </w:tcPr>
          <w:p w14:paraId="7D7CE58E" w14:textId="77777777" w:rsidR="00410074" w:rsidRPr="00D81496" w:rsidRDefault="00410074" w:rsidP="00306A60">
            <w:pPr>
              <w:spacing w:before="40" w:after="40"/>
              <w:rPr>
                <w:rFonts w:ascii="Arial" w:hAnsi="Arial" w:cs="Arial"/>
                <w:sz w:val="20"/>
                <w:szCs w:val="20"/>
              </w:rPr>
            </w:pPr>
          </w:p>
        </w:tc>
        <w:tc>
          <w:tcPr>
            <w:tcW w:w="5528" w:type="dxa"/>
            <w:tcBorders>
              <w:top w:val="single" w:sz="8" w:space="0" w:color="005DAA"/>
              <w:left w:val="single" w:sz="6" w:space="0" w:color="7BA0CD"/>
              <w:bottom w:val="single" w:sz="8" w:space="0" w:color="005DAA"/>
              <w:right w:val="single" w:sz="6" w:space="0" w:color="7BA0CD"/>
            </w:tcBorders>
            <w:shd w:val="solid" w:color="FFFFFF" w:fill="auto"/>
          </w:tcPr>
          <w:p w14:paraId="3B7F6528" w14:textId="3533DB51" w:rsidR="00410074" w:rsidRPr="00D81496" w:rsidRDefault="003F4E0D" w:rsidP="00306A60">
            <w:pPr>
              <w:spacing w:before="40" w:after="40"/>
              <w:rPr>
                <w:rFonts w:ascii="Arial" w:hAnsi="Arial" w:cs="Arial"/>
                <w:sz w:val="20"/>
                <w:szCs w:val="20"/>
              </w:rPr>
            </w:pPr>
            <w:r w:rsidRPr="003F4E0D">
              <w:rPr>
                <w:rFonts w:ascii="Arial" w:hAnsi="Arial" w:cs="Arial"/>
                <w:sz w:val="20"/>
                <w:szCs w:val="20"/>
              </w:rPr>
              <w:t>Yr 3. Mainstreaming of ETP management approaches and introduce of the risk-monitoring system.</w:t>
            </w:r>
          </w:p>
        </w:tc>
        <w:tc>
          <w:tcPr>
            <w:tcW w:w="2978" w:type="dxa"/>
            <w:tcBorders>
              <w:top w:val="single" w:sz="8" w:space="0" w:color="005DAA"/>
              <w:left w:val="single" w:sz="6" w:space="0" w:color="7BA0CD"/>
              <w:bottom w:val="single" w:sz="8" w:space="0" w:color="005DAA"/>
              <w:right w:val="single" w:sz="6" w:space="0" w:color="7BA0CD"/>
            </w:tcBorders>
            <w:shd w:val="solid" w:color="FFFFFF" w:fill="auto"/>
          </w:tcPr>
          <w:p w14:paraId="21589104" w14:textId="77777777" w:rsidR="00410074" w:rsidRPr="00D81496" w:rsidRDefault="00410074" w:rsidP="00306A60">
            <w:pPr>
              <w:spacing w:before="40" w:after="40"/>
              <w:rPr>
                <w:rFonts w:ascii="Arial" w:hAnsi="Arial" w:cs="Arial"/>
                <w:sz w:val="20"/>
                <w:szCs w:val="20"/>
              </w:rPr>
            </w:pPr>
          </w:p>
        </w:tc>
        <w:tc>
          <w:tcPr>
            <w:tcW w:w="2979" w:type="dxa"/>
            <w:tcBorders>
              <w:top w:val="single" w:sz="8" w:space="0" w:color="005DAA"/>
              <w:left w:val="single" w:sz="6" w:space="0" w:color="7BA0CD"/>
              <w:bottom w:val="single" w:sz="8" w:space="0" w:color="005DAA"/>
              <w:right w:val="single" w:sz="6" w:space="0" w:color="7BA0CD"/>
            </w:tcBorders>
            <w:shd w:val="solid" w:color="FFFFFF" w:fill="auto"/>
          </w:tcPr>
          <w:p w14:paraId="5DC005FE" w14:textId="77777777" w:rsidR="00410074" w:rsidRPr="00D81496" w:rsidRDefault="00410074" w:rsidP="00306A60">
            <w:pPr>
              <w:spacing w:before="40" w:after="40"/>
              <w:rPr>
                <w:rFonts w:ascii="Arial" w:hAnsi="Arial" w:cs="Arial"/>
                <w:sz w:val="20"/>
                <w:szCs w:val="20"/>
              </w:rPr>
            </w:pPr>
          </w:p>
        </w:tc>
      </w:tr>
      <w:tr w:rsidR="00443BE0" w:rsidRPr="00393726" w14:paraId="2E19C912" w14:textId="77777777" w:rsidTr="004F233E">
        <w:trPr>
          <w:cantSplit/>
          <w:trHeight w:val="1690"/>
        </w:trPr>
        <w:tc>
          <w:tcPr>
            <w:tcW w:w="1867" w:type="dxa"/>
            <w:tcBorders>
              <w:top w:val="single" w:sz="8" w:space="0" w:color="005DAA"/>
              <w:left w:val="single" w:sz="8" w:space="0" w:color="005DAA"/>
              <w:right w:val="single" w:sz="6" w:space="0" w:color="7BA0CD"/>
            </w:tcBorders>
            <w:shd w:val="clear" w:color="auto" w:fill="FFF2CC" w:themeFill="accent4" w:themeFillTint="33"/>
          </w:tcPr>
          <w:p w14:paraId="74BCFE13" w14:textId="01C78226" w:rsidR="00443BE0" w:rsidRPr="00D81496" w:rsidRDefault="00443BE0" w:rsidP="00306A60">
            <w:pPr>
              <w:spacing w:before="40" w:after="40"/>
              <w:rPr>
                <w:rFonts w:ascii="Arial" w:hAnsi="Arial" w:cs="Arial"/>
                <w:b/>
                <w:color w:val="4C4C4C"/>
                <w:sz w:val="20"/>
                <w:szCs w:val="20"/>
              </w:rPr>
            </w:pPr>
            <w:r w:rsidRPr="00443BE0">
              <w:rPr>
                <w:rFonts w:ascii="Arial" w:hAnsi="Arial" w:cs="Arial"/>
                <w:b/>
                <w:color w:val="4C4C4C"/>
                <w:sz w:val="20"/>
                <w:szCs w:val="20"/>
              </w:rPr>
              <w:t>3.2.1 Fishery-specific objectives</w:t>
            </w:r>
          </w:p>
        </w:tc>
        <w:tc>
          <w:tcPr>
            <w:tcW w:w="2126" w:type="dxa"/>
            <w:tcBorders>
              <w:top w:val="single" w:sz="8" w:space="0" w:color="005DAA"/>
              <w:left w:val="single" w:sz="6" w:space="0" w:color="7BA0CD"/>
              <w:right w:val="single" w:sz="6" w:space="0" w:color="7BA0CD"/>
            </w:tcBorders>
            <w:shd w:val="solid" w:color="FFFFFF" w:fill="auto"/>
          </w:tcPr>
          <w:p w14:paraId="116C1A50" w14:textId="5D355DD5" w:rsidR="00443BE0" w:rsidRPr="00D81496" w:rsidRDefault="00443BE0" w:rsidP="00443BE0">
            <w:pPr>
              <w:spacing w:before="40" w:after="40"/>
              <w:rPr>
                <w:rFonts w:ascii="Arial" w:hAnsi="Arial" w:cs="Arial"/>
                <w:sz w:val="20"/>
                <w:szCs w:val="20"/>
              </w:rPr>
            </w:pPr>
            <w:r>
              <w:rPr>
                <w:rFonts w:ascii="Arial" w:hAnsi="Arial" w:cs="Arial"/>
                <w:sz w:val="20"/>
                <w:szCs w:val="20"/>
              </w:rPr>
              <w:t>Action #6: D</w:t>
            </w:r>
            <w:r w:rsidRPr="00443BE0">
              <w:rPr>
                <w:rFonts w:ascii="Arial" w:hAnsi="Arial" w:cs="Arial"/>
                <w:sz w:val="20"/>
                <w:szCs w:val="20"/>
              </w:rPr>
              <w:t xml:space="preserve">iscussion </w:t>
            </w:r>
            <w:r>
              <w:rPr>
                <w:rFonts w:ascii="Arial" w:hAnsi="Arial" w:cs="Arial"/>
                <w:sz w:val="20"/>
                <w:szCs w:val="20"/>
              </w:rPr>
              <w:t>&amp;</w:t>
            </w:r>
            <w:r w:rsidRPr="00443BE0">
              <w:rPr>
                <w:rFonts w:ascii="Arial" w:hAnsi="Arial" w:cs="Arial"/>
                <w:sz w:val="20"/>
                <w:szCs w:val="20"/>
              </w:rPr>
              <w:t xml:space="preserve"> agreement of management needs </w:t>
            </w:r>
            <w:r>
              <w:rPr>
                <w:rFonts w:ascii="Arial" w:hAnsi="Arial" w:cs="Arial"/>
                <w:sz w:val="20"/>
                <w:szCs w:val="20"/>
              </w:rPr>
              <w:t>&amp;</w:t>
            </w:r>
            <w:r w:rsidRPr="00443BE0">
              <w:rPr>
                <w:rFonts w:ascii="Arial" w:hAnsi="Arial" w:cs="Arial"/>
                <w:sz w:val="20"/>
                <w:szCs w:val="20"/>
              </w:rPr>
              <w:t xml:space="preserve"> objectives </w:t>
            </w:r>
            <w:r>
              <w:rPr>
                <w:rFonts w:ascii="Arial" w:hAnsi="Arial" w:cs="Arial"/>
                <w:sz w:val="20"/>
                <w:szCs w:val="20"/>
              </w:rPr>
              <w:t xml:space="preserve">by </w:t>
            </w:r>
            <w:r w:rsidRPr="00443BE0">
              <w:rPr>
                <w:rFonts w:ascii="Arial" w:hAnsi="Arial" w:cs="Arial"/>
                <w:sz w:val="20"/>
                <w:szCs w:val="20"/>
              </w:rPr>
              <w:t>transboundary management authorities</w:t>
            </w:r>
          </w:p>
        </w:tc>
        <w:tc>
          <w:tcPr>
            <w:tcW w:w="5528" w:type="dxa"/>
            <w:tcBorders>
              <w:top w:val="single" w:sz="8" w:space="0" w:color="005DAA"/>
              <w:left w:val="single" w:sz="6" w:space="0" w:color="7BA0CD"/>
              <w:right w:val="single" w:sz="6" w:space="0" w:color="7BA0CD"/>
            </w:tcBorders>
            <w:shd w:val="solid" w:color="FFFFFF" w:fill="auto"/>
          </w:tcPr>
          <w:p w14:paraId="7B3A28D4" w14:textId="01E44235" w:rsidR="00443BE0" w:rsidRPr="00D81496" w:rsidRDefault="00443BE0" w:rsidP="00306A60">
            <w:pPr>
              <w:spacing w:before="40" w:after="40"/>
              <w:rPr>
                <w:rFonts w:ascii="Arial" w:hAnsi="Arial" w:cs="Arial"/>
                <w:sz w:val="20"/>
                <w:szCs w:val="20"/>
              </w:rPr>
            </w:pPr>
            <w:r w:rsidRPr="00443BE0">
              <w:rPr>
                <w:rFonts w:ascii="Arial" w:hAnsi="Arial" w:cs="Arial"/>
                <w:sz w:val="20"/>
                <w:szCs w:val="20"/>
              </w:rPr>
              <w:t>Each SG Meeting: Review and where necessary, promote improvements to UK and non-UK consultation and joint management processes.</w:t>
            </w:r>
          </w:p>
        </w:tc>
        <w:tc>
          <w:tcPr>
            <w:tcW w:w="2978" w:type="dxa"/>
            <w:tcBorders>
              <w:top w:val="single" w:sz="8" w:space="0" w:color="005DAA"/>
              <w:left w:val="single" w:sz="6" w:space="0" w:color="7BA0CD"/>
              <w:right w:val="single" w:sz="6" w:space="0" w:color="7BA0CD"/>
            </w:tcBorders>
            <w:shd w:val="solid" w:color="FFFFFF" w:fill="auto"/>
          </w:tcPr>
          <w:p w14:paraId="013D4EF2" w14:textId="77777777" w:rsidR="00443BE0" w:rsidRPr="00D81496" w:rsidRDefault="00443BE0" w:rsidP="00306A60">
            <w:pPr>
              <w:spacing w:before="40" w:after="40"/>
              <w:rPr>
                <w:rFonts w:ascii="Arial" w:hAnsi="Arial" w:cs="Arial"/>
                <w:sz w:val="20"/>
                <w:szCs w:val="20"/>
              </w:rPr>
            </w:pPr>
          </w:p>
        </w:tc>
        <w:tc>
          <w:tcPr>
            <w:tcW w:w="2979" w:type="dxa"/>
            <w:tcBorders>
              <w:top w:val="single" w:sz="8" w:space="0" w:color="005DAA"/>
              <w:left w:val="single" w:sz="6" w:space="0" w:color="7BA0CD"/>
              <w:right w:val="single" w:sz="6" w:space="0" w:color="7BA0CD"/>
            </w:tcBorders>
            <w:shd w:val="solid" w:color="FFFFFF" w:fill="auto"/>
          </w:tcPr>
          <w:p w14:paraId="280A4C31" w14:textId="77777777" w:rsidR="00443BE0" w:rsidRPr="00D81496" w:rsidRDefault="00443BE0" w:rsidP="00306A60">
            <w:pPr>
              <w:spacing w:before="40" w:after="40"/>
              <w:rPr>
                <w:rFonts w:ascii="Arial" w:hAnsi="Arial" w:cs="Arial"/>
                <w:sz w:val="20"/>
                <w:szCs w:val="20"/>
              </w:rPr>
            </w:pPr>
          </w:p>
        </w:tc>
      </w:tr>
      <w:bookmarkEnd w:id="1"/>
      <w:bookmarkEnd w:id="2"/>
      <w:bookmarkEnd w:id="3"/>
    </w:tbl>
    <w:p w14:paraId="4FE20F8F" w14:textId="51A528B1" w:rsidR="00CF2C4A" w:rsidRPr="00842485" w:rsidRDefault="00CF2C4A" w:rsidP="009E2C4D">
      <w:pPr>
        <w:rPr>
          <w:rFonts w:ascii="Arial" w:hAnsi="Arial"/>
          <w:b/>
          <w:color w:val="4C4C4C"/>
          <w:sz w:val="24"/>
          <w:szCs w:val="24"/>
        </w:rPr>
      </w:pPr>
    </w:p>
    <w:p w14:paraId="2E7BCC8C" w14:textId="77777777" w:rsidR="0092235B" w:rsidRPr="00842485" w:rsidRDefault="0092235B" w:rsidP="009E2C4D">
      <w:pPr>
        <w:rPr>
          <w:rFonts w:ascii="Arial" w:hAnsi="Arial"/>
          <w:b/>
          <w:color w:val="4C4C4C"/>
          <w:sz w:val="24"/>
          <w:szCs w:val="24"/>
        </w:rPr>
      </w:pPr>
    </w:p>
    <w:p w14:paraId="5E62EA67" w14:textId="77777777" w:rsidR="0092235B" w:rsidRPr="00842485" w:rsidRDefault="0092235B" w:rsidP="0092235B">
      <w:pPr>
        <w:pStyle w:val="Caption"/>
        <w:sectPr w:rsidR="0092235B" w:rsidRPr="00842485" w:rsidSect="00C81114">
          <w:headerReference w:type="default" r:id="rId10"/>
          <w:footerReference w:type="default" r:id="rId11"/>
          <w:pgSz w:w="16838" w:h="11899" w:orient="landscape"/>
          <w:pgMar w:top="1846" w:right="1848" w:bottom="425" w:left="709" w:header="567" w:footer="318" w:gutter="0"/>
          <w:cols w:space="708"/>
        </w:sectPr>
      </w:pPr>
    </w:p>
    <w:p w14:paraId="13C75F91" w14:textId="26CECA95" w:rsidR="0092235B" w:rsidRPr="00842485" w:rsidRDefault="0092235B" w:rsidP="0092235B">
      <w:pPr>
        <w:pStyle w:val="Caption"/>
      </w:pPr>
      <w:r w:rsidRPr="00842485">
        <w:t xml:space="preserve">Appendix </w:t>
      </w:r>
      <w:fldSimple w:instr=" SEQ Appendix \* ALPHABETIC ">
        <w:r w:rsidR="00243804">
          <w:rPr>
            <w:noProof/>
          </w:rPr>
          <w:t>A</w:t>
        </w:r>
      </w:fldSimple>
      <w:r w:rsidRPr="00842485">
        <w:t>: Pre-assessment scores</w:t>
      </w:r>
    </w:p>
    <w:p w14:paraId="62A9F199" w14:textId="77777777" w:rsidR="0092235B" w:rsidRPr="00842485" w:rsidRDefault="0092235B" w:rsidP="0092235B">
      <w:r w:rsidRPr="00842485">
        <w:t xml:space="preserve">From: </w:t>
      </w:r>
      <w:r w:rsidR="00C75A6B" w:rsidRPr="00842485">
        <w:t xml:space="preserve">Acoura (2016). </w:t>
      </w:r>
      <w:r w:rsidRPr="00842485">
        <w:t xml:space="preserve">MSC Pre-Assessment for </w:t>
      </w:r>
      <w:r w:rsidR="00C75A6B" w:rsidRPr="00842485">
        <w:t>UK Western Channel and Celtic Sea edible crab fishery (pots)</w:t>
      </w:r>
      <w:r w:rsidRPr="00842485">
        <w:t xml:space="preserve">. Project UK Fisheries Improvements.  DRAFT REPORT.  December 2016.  Prepared for Project UK Fisheries Improvements by </w:t>
      </w:r>
      <w:r w:rsidR="00D2275B" w:rsidRPr="00842485">
        <w:t>Crick Carleton, Nautilus Consultants</w:t>
      </w:r>
      <w:r w:rsidRPr="00842485">
        <w:t xml:space="preserve">.  </w:t>
      </w:r>
    </w:p>
    <w:tbl>
      <w:tblPr>
        <w:tblW w:w="8340" w:type="dxa"/>
        <w:tblInd w:w="93" w:type="dxa"/>
        <w:tblLook w:val="04A0" w:firstRow="1" w:lastRow="0" w:firstColumn="1" w:lastColumn="0" w:noHBand="0" w:noVBand="1"/>
      </w:tblPr>
      <w:tblGrid>
        <w:gridCol w:w="940"/>
        <w:gridCol w:w="1855"/>
        <w:gridCol w:w="622"/>
        <w:gridCol w:w="3438"/>
        <w:gridCol w:w="1485"/>
      </w:tblGrid>
      <w:tr w:rsidR="00C75A6B" w:rsidRPr="00842485" w14:paraId="221AC5FC" w14:textId="77777777" w:rsidTr="00306A60">
        <w:trPr>
          <w:trHeight w:val="560"/>
          <w:tblHeader/>
        </w:trPr>
        <w:tc>
          <w:tcPr>
            <w:tcW w:w="94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CA67611" w14:textId="77777777" w:rsidR="00C75A6B" w:rsidRPr="00842485" w:rsidRDefault="00C75A6B" w:rsidP="00C75A6B">
            <w:pPr>
              <w:pStyle w:val="Tableheader"/>
              <w:spacing w:before="40" w:after="40"/>
            </w:pPr>
            <w:r w:rsidRPr="00842485">
              <w:t>Principle</w:t>
            </w:r>
          </w:p>
        </w:tc>
        <w:tc>
          <w:tcPr>
            <w:tcW w:w="185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090C2AD8" w14:textId="77777777" w:rsidR="00C75A6B" w:rsidRPr="00842485" w:rsidRDefault="00C75A6B" w:rsidP="00C75A6B">
            <w:pPr>
              <w:pStyle w:val="Tableheader"/>
              <w:spacing w:before="40" w:after="40"/>
            </w:pPr>
            <w:r w:rsidRPr="00842485">
              <w:t>Component</w:t>
            </w:r>
          </w:p>
        </w:tc>
        <w:tc>
          <w:tcPr>
            <w:tcW w:w="622"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32D44A94" w14:textId="77777777" w:rsidR="00C75A6B" w:rsidRPr="00842485" w:rsidRDefault="00C75A6B" w:rsidP="00C75A6B">
            <w:pPr>
              <w:pStyle w:val="Tableheader"/>
              <w:spacing w:before="40" w:after="40"/>
            </w:pPr>
            <w:r w:rsidRPr="00842485">
              <w:t xml:space="preserve">PI </w:t>
            </w:r>
          </w:p>
        </w:tc>
        <w:tc>
          <w:tcPr>
            <w:tcW w:w="343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153DECC1" w14:textId="77777777" w:rsidR="00C75A6B" w:rsidRPr="00842485" w:rsidRDefault="00C75A6B" w:rsidP="00C75A6B">
            <w:pPr>
              <w:pStyle w:val="Tableheader"/>
              <w:spacing w:before="40" w:after="40"/>
            </w:pPr>
            <w:r w:rsidRPr="00842485">
              <w:t>Performance Indicator</w:t>
            </w:r>
          </w:p>
        </w:tc>
        <w:tc>
          <w:tcPr>
            <w:tcW w:w="148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03B06B8E" w14:textId="77777777" w:rsidR="00C75A6B" w:rsidRPr="00842485" w:rsidRDefault="00C75A6B" w:rsidP="00C75A6B">
            <w:pPr>
              <w:pStyle w:val="Tableheader"/>
              <w:spacing w:before="40" w:after="40"/>
              <w:jc w:val="center"/>
            </w:pPr>
            <w:r w:rsidRPr="00842485">
              <w:t>Likely scoring level</w:t>
            </w:r>
          </w:p>
        </w:tc>
      </w:tr>
      <w:tr w:rsidR="00C75A6B" w:rsidRPr="00842485" w14:paraId="07A9EED0"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82A0C24" w14:textId="77777777" w:rsidR="00C75A6B" w:rsidRPr="00842485" w:rsidRDefault="00C75A6B" w:rsidP="00C75A6B">
            <w:pPr>
              <w:pStyle w:val="Tabletext"/>
              <w:spacing w:before="40" w:after="40"/>
            </w:pPr>
            <w:r w:rsidRPr="00842485">
              <w:t>1</w:t>
            </w:r>
          </w:p>
        </w:tc>
        <w:tc>
          <w:tcPr>
            <w:tcW w:w="1855"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020B8BE" w14:textId="77777777" w:rsidR="00C75A6B" w:rsidRPr="00842485" w:rsidRDefault="00C75A6B" w:rsidP="007E61FF">
            <w:pPr>
              <w:pStyle w:val="Tabletext"/>
              <w:spacing w:before="40" w:after="40"/>
              <w:jc w:val="left"/>
            </w:pPr>
            <w:r w:rsidRPr="00842485">
              <w:t>Outcome</w:t>
            </w:r>
          </w:p>
        </w:tc>
        <w:tc>
          <w:tcPr>
            <w:tcW w:w="622" w:type="dxa"/>
            <w:tcBorders>
              <w:top w:val="nil"/>
              <w:left w:val="nil"/>
              <w:bottom w:val="single" w:sz="4" w:space="0" w:color="auto"/>
              <w:right w:val="single" w:sz="4" w:space="0" w:color="auto"/>
            </w:tcBorders>
            <w:shd w:val="clear" w:color="auto" w:fill="auto"/>
            <w:vAlign w:val="center"/>
            <w:hideMark/>
          </w:tcPr>
          <w:p w14:paraId="025C07A6" w14:textId="77777777" w:rsidR="00C75A6B" w:rsidRPr="00842485" w:rsidRDefault="00C75A6B" w:rsidP="00C75A6B">
            <w:pPr>
              <w:pStyle w:val="Tabletext"/>
              <w:spacing w:before="40" w:after="40"/>
            </w:pPr>
            <w:r w:rsidRPr="00842485">
              <w:t>1.1.1</w:t>
            </w:r>
          </w:p>
        </w:tc>
        <w:tc>
          <w:tcPr>
            <w:tcW w:w="3438" w:type="dxa"/>
            <w:tcBorders>
              <w:top w:val="nil"/>
              <w:left w:val="nil"/>
              <w:bottom w:val="single" w:sz="4" w:space="0" w:color="auto"/>
              <w:right w:val="single" w:sz="4" w:space="0" w:color="auto"/>
            </w:tcBorders>
            <w:shd w:val="clear" w:color="auto" w:fill="auto"/>
            <w:vAlign w:val="center"/>
            <w:hideMark/>
          </w:tcPr>
          <w:p w14:paraId="1F9E2EBE" w14:textId="77777777" w:rsidR="00C75A6B" w:rsidRPr="00842485" w:rsidRDefault="00C75A6B" w:rsidP="00C75A6B">
            <w:pPr>
              <w:pStyle w:val="Tabletext"/>
              <w:spacing w:before="40" w:after="40"/>
            </w:pPr>
            <w:r w:rsidRPr="00842485">
              <w:t>Stock status</w:t>
            </w:r>
          </w:p>
        </w:tc>
        <w:tc>
          <w:tcPr>
            <w:tcW w:w="1485" w:type="dxa"/>
            <w:tcBorders>
              <w:top w:val="nil"/>
              <w:left w:val="nil"/>
              <w:bottom w:val="single" w:sz="4" w:space="0" w:color="auto"/>
              <w:right w:val="single" w:sz="4" w:space="0" w:color="auto"/>
            </w:tcBorders>
            <w:shd w:val="clear" w:color="auto" w:fill="92D050"/>
            <w:vAlign w:val="center"/>
          </w:tcPr>
          <w:p w14:paraId="12740329"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7327F75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D3B5228"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7CB874A"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2611C6F0" w14:textId="77777777" w:rsidR="00C75A6B" w:rsidRPr="00842485" w:rsidRDefault="00C75A6B" w:rsidP="00C75A6B">
            <w:pPr>
              <w:pStyle w:val="Tabletext"/>
              <w:spacing w:before="40" w:after="40"/>
            </w:pPr>
            <w:r w:rsidRPr="00842485">
              <w:t>1.1.2</w:t>
            </w:r>
          </w:p>
        </w:tc>
        <w:tc>
          <w:tcPr>
            <w:tcW w:w="3438" w:type="dxa"/>
            <w:tcBorders>
              <w:top w:val="nil"/>
              <w:left w:val="nil"/>
              <w:bottom w:val="single" w:sz="4" w:space="0" w:color="auto"/>
              <w:right w:val="single" w:sz="4" w:space="0" w:color="auto"/>
            </w:tcBorders>
            <w:shd w:val="clear" w:color="auto" w:fill="auto"/>
            <w:vAlign w:val="center"/>
            <w:hideMark/>
          </w:tcPr>
          <w:p w14:paraId="1309A4FE" w14:textId="77777777" w:rsidR="00C75A6B" w:rsidRPr="00842485" w:rsidRDefault="00C75A6B" w:rsidP="00C75A6B">
            <w:pPr>
              <w:pStyle w:val="Tabletext"/>
              <w:spacing w:before="40" w:after="40"/>
            </w:pPr>
            <w:r w:rsidRPr="00842485">
              <w:t>Stock rebuilding</w:t>
            </w:r>
          </w:p>
        </w:tc>
        <w:tc>
          <w:tcPr>
            <w:tcW w:w="1485" w:type="dxa"/>
            <w:tcBorders>
              <w:top w:val="nil"/>
              <w:left w:val="nil"/>
              <w:bottom w:val="single" w:sz="4" w:space="0" w:color="auto"/>
              <w:right w:val="single" w:sz="4" w:space="0" w:color="auto"/>
            </w:tcBorders>
            <w:shd w:val="clear" w:color="auto" w:fill="auto"/>
            <w:vAlign w:val="center"/>
          </w:tcPr>
          <w:p w14:paraId="740B5E27" w14:textId="77777777" w:rsidR="00C75A6B" w:rsidRPr="00842485" w:rsidRDefault="00C75A6B" w:rsidP="00C75A6B">
            <w:pPr>
              <w:pStyle w:val="Tabletext"/>
              <w:spacing w:before="40" w:after="40"/>
              <w:jc w:val="center"/>
            </w:pPr>
          </w:p>
        </w:tc>
      </w:tr>
      <w:tr w:rsidR="00C75A6B" w:rsidRPr="00842485" w14:paraId="7B82D9E6"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F499050" w14:textId="77777777" w:rsidR="00C75A6B" w:rsidRPr="00842485" w:rsidRDefault="00C75A6B" w:rsidP="00C75A6B">
            <w:pPr>
              <w:pStyle w:val="Tabletext"/>
              <w:spacing w:before="40" w:after="40"/>
            </w:pPr>
          </w:p>
        </w:tc>
        <w:tc>
          <w:tcPr>
            <w:tcW w:w="1855"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4322BB3" w14:textId="77777777" w:rsidR="00C75A6B" w:rsidRPr="00842485" w:rsidRDefault="00C75A6B" w:rsidP="007E61FF">
            <w:pPr>
              <w:pStyle w:val="Tabletext"/>
              <w:spacing w:before="40" w:after="40"/>
              <w:jc w:val="left"/>
            </w:pPr>
            <w:r w:rsidRPr="00842485">
              <w:t>Management</w:t>
            </w:r>
          </w:p>
        </w:tc>
        <w:tc>
          <w:tcPr>
            <w:tcW w:w="622" w:type="dxa"/>
            <w:tcBorders>
              <w:top w:val="nil"/>
              <w:left w:val="nil"/>
              <w:bottom w:val="single" w:sz="4" w:space="0" w:color="auto"/>
              <w:right w:val="single" w:sz="4" w:space="0" w:color="auto"/>
            </w:tcBorders>
            <w:shd w:val="clear" w:color="auto" w:fill="auto"/>
            <w:vAlign w:val="center"/>
            <w:hideMark/>
          </w:tcPr>
          <w:p w14:paraId="33C33550" w14:textId="77777777" w:rsidR="00C75A6B" w:rsidRPr="00842485" w:rsidRDefault="00C75A6B" w:rsidP="00C75A6B">
            <w:pPr>
              <w:pStyle w:val="Tabletext"/>
              <w:spacing w:before="40" w:after="40"/>
            </w:pPr>
            <w:r w:rsidRPr="00842485">
              <w:t>1.2.1</w:t>
            </w:r>
          </w:p>
        </w:tc>
        <w:tc>
          <w:tcPr>
            <w:tcW w:w="3438" w:type="dxa"/>
            <w:tcBorders>
              <w:top w:val="nil"/>
              <w:left w:val="nil"/>
              <w:bottom w:val="single" w:sz="4" w:space="0" w:color="auto"/>
              <w:right w:val="single" w:sz="4" w:space="0" w:color="auto"/>
            </w:tcBorders>
            <w:shd w:val="clear" w:color="auto" w:fill="auto"/>
            <w:vAlign w:val="center"/>
            <w:hideMark/>
          </w:tcPr>
          <w:p w14:paraId="62E11C3F" w14:textId="77777777" w:rsidR="00C75A6B" w:rsidRPr="00842485" w:rsidRDefault="00C75A6B" w:rsidP="00C75A6B">
            <w:pPr>
              <w:pStyle w:val="Tabletext"/>
              <w:spacing w:before="40" w:after="40"/>
            </w:pPr>
            <w:r w:rsidRPr="00842485">
              <w:t>Harvest Strategy</w:t>
            </w:r>
          </w:p>
        </w:tc>
        <w:tc>
          <w:tcPr>
            <w:tcW w:w="1485" w:type="dxa"/>
            <w:tcBorders>
              <w:top w:val="nil"/>
              <w:left w:val="nil"/>
              <w:bottom w:val="single" w:sz="4" w:space="0" w:color="auto"/>
              <w:right w:val="single" w:sz="4" w:space="0" w:color="auto"/>
            </w:tcBorders>
            <w:shd w:val="clear" w:color="auto" w:fill="FF0000"/>
            <w:vAlign w:val="center"/>
          </w:tcPr>
          <w:p w14:paraId="71058316" w14:textId="77777777" w:rsidR="00C75A6B" w:rsidRPr="00842485" w:rsidRDefault="00C75A6B" w:rsidP="00C75A6B">
            <w:pPr>
              <w:pStyle w:val="Tabletext"/>
              <w:spacing w:before="40" w:after="40"/>
              <w:jc w:val="center"/>
            </w:pPr>
            <w:r w:rsidRPr="00842485">
              <w:t>&lt;60</w:t>
            </w:r>
          </w:p>
        </w:tc>
      </w:tr>
      <w:tr w:rsidR="00C75A6B" w:rsidRPr="00842485" w14:paraId="262ABF2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5EE56F2"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38A6EA4"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70C32C31" w14:textId="77777777" w:rsidR="00C75A6B" w:rsidRPr="00842485" w:rsidRDefault="00C75A6B" w:rsidP="00C75A6B">
            <w:pPr>
              <w:pStyle w:val="Tabletext"/>
              <w:spacing w:before="40" w:after="40"/>
            </w:pPr>
            <w:r w:rsidRPr="00842485">
              <w:t>1.2.2</w:t>
            </w:r>
          </w:p>
        </w:tc>
        <w:tc>
          <w:tcPr>
            <w:tcW w:w="3438" w:type="dxa"/>
            <w:tcBorders>
              <w:top w:val="nil"/>
              <w:left w:val="nil"/>
              <w:bottom w:val="single" w:sz="4" w:space="0" w:color="auto"/>
              <w:right w:val="single" w:sz="4" w:space="0" w:color="auto"/>
            </w:tcBorders>
            <w:shd w:val="clear" w:color="auto" w:fill="auto"/>
            <w:vAlign w:val="center"/>
            <w:hideMark/>
          </w:tcPr>
          <w:p w14:paraId="0A8350DC" w14:textId="77777777" w:rsidR="00C75A6B" w:rsidRPr="00842485" w:rsidRDefault="00C75A6B" w:rsidP="00C75A6B">
            <w:pPr>
              <w:pStyle w:val="Tabletext"/>
              <w:spacing w:before="40" w:after="40"/>
            </w:pPr>
            <w:r w:rsidRPr="00842485">
              <w:t>Harvest control rules and tools</w:t>
            </w:r>
          </w:p>
        </w:tc>
        <w:tc>
          <w:tcPr>
            <w:tcW w:w="1485" w:type="dxa"/>
            <w:tcBorders>
              <w:top w:val="nil"/>
              <w:left w:val="nil"/>
              <w:bottom w:val="single" w:sz="4" w:space="0" w:color="auto"/>
              <w:right w:val="single" w:sz="4" w:space="0" w:color="auto"/>
            </w:tcBorders>
            <w:shd w:val="clear" w:color="auto" w:fill="FF0000"/>
            <w:vAlign w:val="center"/>
          </w:tcPr>
          <w:p w14:paraId="6AC1C18A" w14:textId="77777777" w:rsidR="00C75A6B" w:rsidRPr="00842485" w:rsidRDefault="00C75A6B" w:rsidP="00C75A6B">
            <w:pPr>
              <w:pStyle w:val="Tabletext"/>
              <w:spacing w:before="40" w:after="40"/>
              <w:jc w:val="center"/>
            </w:pPr>
            <w:r w:rsidRPr="00842485">
              <w:t>&lt;60</w:t>
            </w:r>
          </w:p>
        </w:tc>
      </w:tr>
      <w:tr w:rsidR="00C75A6B" w:rsidRPr="00842485" w14:paraId="78AE6A8A"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0F2E8FE"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1E14539"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0A29533C" w14:textId="77777777" w:rsidR="00C75A6B" w:rsidRPr="00842485" w:rsidRDefault="00C75A6B" w:rsidP="00C75A6B">
            <w:pPr>
              <w:pStyle w:val="Tabletext"/>
              <w:spacing w:before="40" w:after="40"/>
            </w:pPr>
            <w:r w:rsidRPr="00842485">
              <w:t>1.2.3</w:t>
            </w:r>
          </w:p>
        </w:tc>
        <w:tc>
          <w:tcPr>
            <w:tcW w:w="3438" w:type="dxa"/>
            <w:tcBorders>
              <w:top w:val="nil"/>
              <w:left w:val="nil"/>
              <w:bottom w:val="single" w:sz="4" w:space="0" w:color="auto"/>
              <w:right w:val="single" w:sz="4" w:space="0" w:color="auto"/>
            </w:tcBorders>
            <w:shd w:val="clear" w:color="auto" w:fill="auto"/>
            <w:vAlign w:val="center"/>
            <w:hideMark/>
          </w:tcPr>
          <w:p w14:paraId="6E6AC8C3" w14:textId="77777777" w:rsidR="00C75A6B" w:rsidRPr="00842485" w:rsidRDefault="00C75A6B" w:rsidP="00C75A6B">
            <w:pPr>
              <w:pStyle w:val="Tabletext"/>
              <w:spacing w:before="40" w:after="40"/>
            </w:pPr>
            <w:r w:rsidRPr="00842485">
              <w:t>Information and monitoring</w:t>
            </w:r>
          </w:p>
        </w:tc>
        <w:tc>
          <w:tcPr>
            <w:tcW w:w="1485" w:type="dxa"/>
            <w:tcBorders>
              <w:top w:val="nil"/>
              <w:left w:val="nil"/>
              <w:bottom w:val="single" w:sz="4" w:space="0" w:color="auto"/>
              <w:right w:val="single" w:sz="4" w:space="0" w:color="auto"/>
            </w:tcBorders>
            <w:shd w:val="clear" w:color="auto" w:fill="92D050"/>
            <w:vAlign w:val="center"/>
          </w:tcPr>
          <w:p w14:paraId="11A4C1E0"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05467732"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63A2ADD"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08B4E82"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4B4F8C1F" w14:textId="77777777" w:rsidR="00C75A6B" w:rsidRPr="00842485" w:rsidRDefault="00C75A6B" w:rsidP="00C75A6B">
            <w:pPr>
              <w:pStyle w:val="Tabletext"/>
              <w:spacing w:before="40" w:after="40"/>
            </w:pPr>
            <w:r w:rsidRPr="00842485">
              <w:t>1.2.4</w:t>
            </w:r>
          </w:p>
        </w:tc>
        <w:tc>
          <w:tcPr>
            <w:tcW w:w="3438" w:type="dxa"/>
            <w:tcBorders>
              <w:top w:val="nil"/>
              <w:left w:val="nil"/>
              <w:bottom w:val="single" w:sz="4" w:space="0" w:color="auto"/>
              <w:right w:val="single" w:sz="4" w:space="0" w:color="auto"/>
            </w:tcBorders>
            <w:shd w:val="clear" w:color="auto" w:fill="auto"/>
            <w:vAlign w:val="center"/>
            <w:hideMark/>
          </w:tcPr>
          <w:p w14:paraId="45BF5242" w14:textId="77777777" w:rsidR="00C75A6B" w:rsidRPr="00842485" w:rsidRDefault="00C75A6B" w:rsidP="00C75A6B">
            <w:pPr>
              <w:pStyle w:val="Tabletext"/>
              <w:spacing w:before="40" w:after="40"/>
            </w:pPr>
            <w:r w:rsidRPr="00842485">
              <w:t>Assessment of stock status</w:t>
            </w:r>
          </w:p>
        </w:tc>
        <w:tc>
          <w:tcPr>
            <w:tcW w:w="1485" w:type="dxa"/>
            <w:tcBorders>
              <w:top w:val="nil"/>
              <w:left w:val="nil"/>
              <w:bottom w:val="single" w:sz="4" w:space="0" w:color="auto"/>
              <w:right w:val="single" w:sz="4" w:space="0" w:color="auto"/>
            </w:tcBorders>
            <w:shd w:val="clear" w:color="auto" w:fill="92D050"/>
            <w:vAlign w:val="center"/>
          </w:tcPr>
          <w:p w14:paraId="57C39560"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5AC563D5"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B575B2E" w14:textId="77777777" w:rsidR="00C75A6B" w:rsidRPr="00842485" w:rsidRDefault="00C75A6B" w:rsidP="00C75A6B">
            <w:pPr>
              <w:pStyle w:val="Tabletext"/>
              <w:spacing w:before="40" w:after="40"/>
            </w:pPr>
            <w:r w:rsidRPr="00842485">
              <w:t>2</w:t>
            </w: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151DF62" w14:textId="77777777" w:rsidR="00C75A6B" w:rsidRPr="00842485" w:rsidRDefault="00C75A6B" w:rsidP="007E61FF">
            <w:pPr>
              <w:pStyle w:val="Tabletext"/>
              <w:spacing w:before="40" w:after="40"/>
              <w:jc w:val="left"/>
            </w:pPr>
            <w:r w:rsidRPr="00842485">
              <w:t>Primary Species</w:t>
            </w:r>
          </w:p>
        </w:tc>
        <w:tc>
          <w:tcPr>
            <w:tcW w:w="622" w:type="dxa"/>
            <w:tcBorders>
              <w:top w:val="nil"/>
              <w:left w:val="nil"/>
              <w:bottom w:val="single" w:sz="4" w:space="0" w:color="auto"/>
              <w:right w:val="single" w:sz="4" w:space="0" w:color="auto"/>
            </w:tcBorders>
            <w:shd w:val="clear" w:color="auto" w:fill="auto"/>
            <w:vAlign w:val="center"/>
            <w:hideMark/>
          </w:tcPr>
          <w:p w14:paraId="1CF38D31" w14:textId="77777777" w:rsidR="00C75A6B" w:rsidRPr="00842485" w:rsidRDefault="00C75A6B" w:rsidP="00C75A6B">
            <w:pPr>
              <w:pStyle w:val="Tabletext"/>
              <w:spacing w:before="40" w:after="40"/>
            </w:pPr>
            <w:r w:rsidRPr="00842485">
              <w:t>2.1.1</w:t>
            </w:r>
          </w:p>
        </w:tc>
        <w:tc>
          <w:tcPr>
            <w:tcW w:w="3438" w:type="dxa"/>
            <w:tcBorders>
              <w:top w:val="nil"/>
              <w:left w:val="nil"/>
              <w:bottom w:val="single" w:sz="4" w:space="0" w:color="auto"/>
              <w:right w:val="single" w:sz="4" w:space="0" w:color="auto"/>
            </w:tcBorders>
            <w:shd w:val="clear" w:color="auto" w:fill="auto"/>
            <w:vAlign w:val="center"/>
            <w:hideMark/>
          </w:tcPr>
          <w:p w14:paraId="467C5B6E" w14:textId="77777777" w:rsidR="00C75A6B" w:rsidRPr="00842485" w:rsidRDefault="00C75A6B" w:rsidP="00C75A6B">
            <w:pPr>
              <w:pStyle w:val="Tabletext"/>
              <w:spacing w:before="40" w:after="40"/>
            </w:pPr>
            <w:r w:rsidRPr="00842485">
              <w:t>Outcome</w:t>
            </w:r>
          </w:p>
        </w:tc>
        <w:tc>
          <w:tcPr>
            <w:tcW w:w="1485" w:type="dxa"/>
            <w:tcBorders>
              <w:top w:val="nil"/>
              <w:left w:val="nil"/>
              <w:bottom w:val="single" w:sz="4" w:space="0" w:color="auto"/>
              <w:right w:val="single" w:sz="4" w:space="0" w:color="auto"/>
            </w:tcBorders>
            <w:shd w:val="clear" w:color="auto" w:fill="92D050"/>
            <w:vAlign w:val="center"/>
          </w:tcPr>
          <w:p w14:paraId="2BCC6181"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47E4667F"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193D7A4"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FC492AE"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333C10D4" w14:textId="77777777" w:rsidR="00C75A6B" w:rsidRPr="00842485" w:rsidRDefault="00C75A6B" w:rsidP="00C75A6B">
            <w:pPr>
              <w:pStyle w:val="Tabletext"/>
              <w:spacing w:before="40" w:after="40"/>
            </w:pPr>
            <w:r w:rsidRPr="00842485">
              <w:t>2.1.2</w:t>
            </w:r>
          </w:p>
        </w:tc>
        <w:tc>
          <w:tcPr>
            <w:tcW w:w="3438" w:type="dxa"/>
            <w:tcBorders>
              <w:top w:val="nil"/>
              <w:left w:val="nil"/>
              <w:bottom w:val="single" w:sz="4" w:space="0" w:color="auto"/>
              <w:right w:val="single" w:sz="4" w:space="0" w:color="auto"/>
            </w:tcBorders>
            <w:shd w:val="clear" w:color="auto" w:fill="auto"/>
            <w:vAlign w:val="center"/>
            <w:hideMark/>
          </w:tcPr>
          <w:p w14:paraId="225E52FC" w14:textId="77777777" w:rsidR="00C75A6B" w:rsidRPr="00842485" w:rsidRDefault="00C75A6B" w:rsidP="00C75A6B">
            <w:pPr>
              <w:pStyle w:val="Tabletext"/>
              <w:spacing w:before="40" w:after="40"/>
            </w:pPr>
            <w:r w:rsidRPr="00842485">
              <w:t>Management</w:t>
            </w:r>
          </w:p>
        </w:tc>
        <w:tc>
          <w:tcPr>
            <w:tcW w:w="1485" w:type="dxa"/>
            <w:tcBorders>
              <w:top w:val="nil"/>
              <w:left w:val="nil"/>
              <w:bottom w:val="single" w:sz="4" w:space="0" w:color="auto"/>
              <w:right w:val="single" w:sz="4" w:space="0" w:color="auto"/>
            </w:tcBorders>
            <w:shd w:val="clear" w:color="auto" w:fill="FFC000"/>
            <w:vAlign w:val="center"/>
          </w:tcPr>
          <w:p w14:paraId="17A24958" w14:textId="77777777" w:rsidR="00C75A6B" w:rsidRPr="00842485" w:rsidRDefault="00C75A6B" w:rsidP="00C75A6B">
            <w:pPr>
              <w:pStyle w:val="Tabletext"/>
              <w:spacing w:before="40" w:after="40"/>
              <w:jc w:val="center"/>
            </w:pPr>
            <w:r w:rsidRPr="00842485">
              <w:t>60-79</w:t>
            </w:r>
          </w:p>
        </w:tc>
      </w:tr>
      <w:tr w:rsidR="00C75A6B" w:rsidRPr="00842485" w14:paraId="611C575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03CF273"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2DF739"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4772308E" w14:textId="77777777" w:rsidR="00C75A6B" w:rsidRPr="00842485" w:rsidRDefault="00C75A6B" w:rsidP="00C75A6B">
            <w:pPr>
              <w:pStyle w:val="Tabletext"/>
              <w:spacing w:before="40" w:after="40"/>
            </w:pPr>
            <w:r w:rsidRPr="00842485">
              <w:t>2.1.3</w:t>
            </w:r>
          </w:p>
        </w:tc>
        <w:tc>
          <w:tcPr>
            <w:tcW w:w="3438" w:type="dxa"/>
            <w:tcBorders>
              <w:top w:val="nil"/>
              <w:left w:val="nil"/>
              <w:bottom w:val="single" w:sz="4" w:space="0" w:color="auto"/>
              <w:right w:val="single" w:sz="4" w:space="0" w:color="auto"/>
            </w:tcBorders>
            <w:shd w:val="clear" w:color="auto" w:fill="auto"/>
            <w:vAlign w:val="center"/>
            <w:hideMark/>
          </w:tcPr>
          <w:p w14:paraId="02BD922E" w14:textId="77777777" w:rsidR="00C75A6B" w:rsidRPr="00842485" w:rsidRDefault="00C75A6B" w:rsidP="00C75A6B">
            <w:pPr>
              <w:pStyle w:val="Tabletext"/>
              <w:spacing w:before="40" w:after="40"/>
            </w:pPr>
            <w:r w:rsidRPr="00842485">
              <w:t>Information</w:t>
            </w:r>
          </w:p>
        </w:tc>
        <w:tc>
          <w:tcPr>
            <w:tcW w:w="1485" w:type="dxa"/>
            <w:tcBorders>
              <w:top w:val="nil"/>
              <w:left w:val="nil"/>
              <w:bottom w:val="single" w:sz="4" w:space="0" w:color="auto"/>
              <w:right w:val="single" w:sz="4" w:space="0" w:color="auto"/>
            </w:tcBorders>
            <w:shd w:val="clear" w:color="auto" w:fill="92D050"/>
            <w:vAlign w:val="center"/>
          </w:tcPr>
          <w:p w14:paraId="3D9D92FA"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221F683C"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75073C3" w14:textId="77777777" w:rsidR="00C75A6B" w:rsidRPr="00842485" w:rsidRDefault="00C75A6B" w:rsidP="00C75A6B">
            <w:pPr>
              <w:pStyle w:val="Tabletext"/>
              <w:spacing w:before="40" w:after="40"/>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475C5AD" w14:textId="77777777" w:rsidR="00C75A6B" w:rsidRPr="00842485" w:rsidRDefault="00C75A6B" w:rsidP="007E61FF">
            <w:pPr>
              <w:pStyle w:val="Tabletext"/>
              <w:spacing w:before="40" w:after="40"/>
              <w:jc w:val="left"/>
            </w:pPr>
            <w:r w:rsidRPr="00842485">
              <w:t>Secondary species</w:t>
            </w:r>
          </w:p>
        </w:tc>
        <w:tc>
          <w:tcPr>
            <w:tcW w:w="622" w:type="dxa"/>
            <w:tcBorders>
              <w:top w:val="nil"/>
              <w:left w:val="nil"/>
              <w:bottom w:val="single" w:sz="4" w:space="0" w:color="auto"/>
              <w:right w:val="single" w:sz="4" w:space="0" w:color="auto"/>
            </w:tcBorders>
            <w:shd w:val="clear" w:color="auto" w:fill="auto"/>
            <w:vAlign w:val="center"/>
            <w:hideMark/>
          </w:tcPr>
          <w:p w14:paraId="352D3C6A" w14:textId="77777777" w:rsidR="00C75A6B" w:rsidRPr="00842485" w:rsidRDefault="00C75A6B" w:rsidP="00C75A6B">
            <w:pPr>
              <w:pStyle w:val="Tabletext"/>
              <w:spacing w:before="40" w:after="40"/>
            </w:pPr>
            <w:r w:rsidRPr="00842485">
              <w:t>2.2.1</w:t>
            </w:r>
          </w:p>
        </w:tc>
        <w:tc>
          <w:tcPr>
            <w:tcW w:w="3438" w:type="dxa"/>
            <w:tcBorders>
              <w:top w:val="nil"/>
              <w:left w:val="nil"/>
              <w:bottom w:val="single" w:sz="4" w:space="0" w:color="auto"/>
              <w:right w:val="single" w:sz="4" w:space="0" w:color="auto"/>
            </w:tcBorders>
            <w:shd w:val="clear" w:color="auto" w:fill="auto"/>
            <w:vAlign w:val="center"/>
            <w:hideMark/>
          </w:tcPr>
          <w:p w14:paraId="23737BB0" w14:textId="77777777" w:rsidR="00C75A6B" w:rsidRPr="00842485" w:rsidRDefault="00C75A6B" w:rsidP="00C75A6B">
            <w:pPr>
              <w:pStyle w:val="Tabletext"/>
              <w:spacing w:before="40" w:after="40"/>
            </w:pPr>
            <w:r w:rsidRPr="00842485">
              <w:t>Outcome</w:t>
            </w:r>
          </w:p>
        </w:tc>
        <w:tc>
          <w:tcPr>
            <w:tcW w:w="1485" w:type="dxa"/>
            <w:tcBorders>
              <w:top w:val="nil"/>
              <w:left w:val="nil"/>
              <w:bottom w:val="single" w:sz="4" w:space="0" w:color="auto"/>
              <w:right w:val="single" w:sz="4" w:space="0" w:color="auto"/>
            </w:tcBorders>
            <w:shd w:val="clear" w:color="auto" w:fill="92D050"/>
            <w:vAlign w:val="center"/>
          </w:tcPr>
          <w:p w14:paraId="205CC5DD"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4D5BF41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9EE7B13"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CF44100"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016E6037" w14:textId="77777777" w:rsidR="00C75A6B" w:rsidRPr="00842485" w:rsidRDefault="00C75A6B" w:rsidP="00C75A6B">
            <w:pPr>
              <w:pStyle w:val="Tabletext"/>
              <w:spacing w:before="40" w:after="40"/>
            </w:pPr>
            <w:r w:rsidRPr="00842485">
              <w:t>2.2.2</w:t>
            </w:r>
          </w:p>
        </w:tc>
        <w:tc>
          <w:tcPr>
            <w:tcW w:w="3438" w:type="dxa"/>
            <w:tcBorders>
              <w:top w:val="nil"/>
              <w:left w:val="nil"/>
              <w:bottom w:val="single" w:sz="4" w:space="0" w:color="auto"/>
              <w:right w:val="single" w:sz="4" w:space="0" w:color="auto"/>
            </w:tcBorders>
            <w:shd w:val="clear" w:color="auto" w:fill="auto"/>
            <w:vAlign w:val="center"/>
            <w:hideMark/>
          </w:tcPr>
          <w:p w14:paraId="026DCED6" w14:textId="77777777" w:rsidR="00C75A6B" w:rsidRPr="00842485" w:rsidRDefault="00C75A6B" w:rsidP="00C75A6B">
            <w:pPr>
              <w:pStyle w:val="Tabletext"/>
              <w:spacing w:before="40" w:after="40"/>
            </w:pPr>
            <w:r w:rsidRPr="00842485">
              <w:t>Management</w:t>
            </w:r>
          </w:p>
        </w:tc>
        <w:tc>
          <w:tcPr>
            <w:tcW w:w="1485" w:type="dxa"/>
            <w:tcBorders>
              <w:top w:val="nil"/>
              <w:left w:val="nil"/>
              <w:bottom w:val="single" w:sz="4" w:space="0" w:color="auto"/>
              <w:right w:val="single" w:sz="4" w:space="0" w:color="auto"/>
            </w:tcBorders>
            <w:shd w:val="clear" w:color="auto" w:fill="FFC000"/>
            <w:vAlign w:val="center"/>
          </w:tcPr>
          <w:p w14:paraId="49A4ABB4" w14:textId="77777777" w:rsidR="00C75A6B" w:rsidRPr="00842485" w:rsidRDefault="00C75A6B" w:rsidP="00C75A6B">
            <w:pPr>
              <w:pStyle w:val="Tabletext"/>
              <w:spacing w:before="40" w:after="40"/>
              <w:jc w:val="center"/>
            </w:pPr>
            <w:r w:rsidRPr="00842485">
              <w:t>60-79</w:t>
            </w:r>
          </w:p>
        </w:tc>
      </w:tr>
      <w:tr w:rsidR="00C75A6B" w:rsidRPr="00842485" w14:paraId="6451E8F7"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BAEE8F8"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02C6628"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2257F43C" w14:textId="77777777" w:rsidR="00C75A6B" w:rsidRPr="00842485" w:rsidRDefault="00C75A6B" w:rsidP="00C75A6B">
            <w:pPr>
              <w:pStyle w:val="Tabletext"/>
              <w:spacing w:before="40" w:after="40"/>
            </w:pPr>
            <w:r w:rsidRPr="00842485">
              <w:t>2.2.3</w:t>
            </w:r>
          </w:p>
        </w:tc>
        <w:tc>
          <w:tcPr>
            <w:tcW w:w="3438" w:type="dxa"/>
            <w:tcBorders>
              <w:top w:val="nil"/>
              <w:left w:val="nil"/>
              <w:bottom w:val="single" w:sz="4" w:space="0" w:color="auto"/>
              <w:right w:val="single" w:sz="4" w:space="0" w:color="auto"/>
            </w:tcBorders>
            <w:shd w:val="clear" w:color="auto" w:fill="auto"/>
            <w:vAlign w:val="center"/>
            <w:hideMark/>
          </w:tcPr>
          <w:p w14:paraId="23416443" w14:textId="77777777" w:rsidR="00C75A6B" w:rsidRPr="00842485" w:rsidRDefault="00C75A6B" w:rsidP="00C75A6B">
            <w:pPr>
              <w:pStyle w:val="Tabletext"/>
              <w:spacing w:before="40" w:after="40"/>
            </w:pPr>
            <w:r w:rsidRPr="00842485">
              <w:t>Information</w:t>
            </w:r>
          </w:p>
        </w:tc>
        <w:tc>
          <w:tcPr>
            <w:tcW w:w="1485" w:type="dxa"/>
            <w:tcBorders>
              <w:top w:val="nil"/>
              <w:left w:val="nil"/>
              <w:bottom w:val="single" w:sz="4" w:space="0" w:color="auto"/>
              <w:right w:val="single" w:sz="4" w:space="0" w:color="auto"/>
            </w:tcBorders>
            <w:shd w:val="clear" w:color="auto" w:fill="FFC000"/>
          </w:tcPr>
          <w:p w14:paraId="1EB0163D" w14:textId="77777777" w:rsidR="00C75A6B" w:rsidRPr="00842485" w:rsidRDefault="00C75A6B" w:rsidP="00C75A6B">
            <w:pPr>
              <w:pStyle w:val="Tabletext"/>
              <w:spacing w:before="40" w:after="40"/>
              <w:jc w:val="center"/>
            </w:pPr>
            <w:r w:rsidRPr="00842485">
              <w:t>60-79</w:t>
            </w:r>
          </w:p>
        </w:tc>
      </w:tr>
      <w:tr w:rsidR="00C75A6B" w:rsidRPr="00842485" w14:paraId="61FDFD03"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5633E86" w14:textId="77777777" w:rsidR="00C75A6B" w:rsidRPr="00842485" w:rsidRDefault="00C75A6B" w:rsidP="00C75A6B">
            <w:pPr>
              <w:pStyle w:val="Tabletext"/>
              <w:spacing w:before="40" w:after="40"/>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6258A5" w14:textId="77777777" w:rsidR="00C75A6B" w:rsidRPr="00842485" w:rsidRDefault="00C75A6B" w:rsidP="007E61FF">
            <w:pPr>
              <w:pStyle w:val="Tabletext"/>
              <w:spacing w:before="40" w:after="40"/>
              <w:jc w:val="left"/>
            </w:pPr>
            <w:r w:rsidRPr="00842485">
              <w:t>ETP species</w:t>
            </w:r>
          </w:p>
        </w:tc>
        <w:tc>
          <w:tcPr>
            <w:tcW w:w="622" w:type="dxa"/>
            <w:tcBorders>
              <w:top w:val="nil"/>
              <w:left w:val="nil"/>
              <w:bottom w:val="single" w:sz="4" w:space="0" w:color="auto"/>
              <w:right w:val="single" w:sz="4" w:space="0" w:color="auto"/>
            </w:tcBorders>
            <w:shd w:val="clear" w:color="auto" w:fill="auto"/>
            <w:vAlign w:val="center"/>
            <w:hideMark/>
          </w:tcPr>
          <w:p w14:paraId="46EF9419" w14:textId="77777777" w:rsidR="00C75A6B" w:rsidRPr="00842485" w:rsidRDefault="00C75A6B" w:rsidP="00C75A6B">
            <w:pPr>
              <w:pStyle w:val="Tabletext"/>
              <w:spacing w:before="40" w:after="40"/>
            </w:pPr>
            <w:r w:rsidRPr="00842485">
              <w:t>2.3.1</w:t>
            </w:r>
          </w:p>
        </w:tc>
        <w:tc>
          <w:tcPr>
            <w:tcW w:w="3438" w:type="dxa"/>
            <w:tcBorders>
              <w:top w:val="nil"/>
              <w:left w:val="nil"/>
              <w:bottom w:val="single" w:sz="4" w:space="0" w:color="auto"/>
              <w:right w:val="single" w:sz="4" w:space="0" w:color="auto"/>
            </w:tcBorders>
            <w:shd w:val="clear" w:color="auto" w:fill="auto"/>
            <w:vAlign w:val="center"/>
            <w:hideMark/>
          </w:tcPr>
          <w:p w14:paraId="70115AF8" w14:textId="77777777" w:rsidR="00C75A6B" w:rsidRPr="00842485" w:rsidRDefault="00C75A6B" w:rsidP="00C75A6B">
            <w:pPr>
              <w:pStyle w:val="Tabletext"/>
              <w:spacing w:before="40" w:after="40"/>
            </w:pPr>
            <w:r w:rsidRPr="00842485">
              <w:t>Outcome</w:t>
            </w:r>
          </w:p>
        </w:tc>
        <w:tc>
          <w:tcPr>
            <w:tcW w:w="1485" w:type="dxa"/>
            <w:tcBorders>
              <w:top w:val="nil"/>
              <w:left w:val="nil"/>
              <w:bottom w:val="single" w:sz="4" w:space="0" w:color="auto"/>
              <w:right w:val="single" w:sz="4" w:space="0" w:color="auto"/>
            </w:tcBorders>
            <w:shd w:val="clear" w:color="auto" w:fill="FFC000"/>
          </w:tcPr>
          <w:p w14:paraId="64DBDEC4" w14:textId="77777777" w:rsidR="00C75A6B" w:rsidRPr="00842485" w:rsidRDefault="00C75A6B" w:rsidP="00C75A6B">
            <w:pPr>
              <w:pStyle w:val="Tabletext"/>
              <w:spacing w:before="40" w:after="40"/>
              <w:jc w:val="center"/>
            </w:pPr>
            <w:r w:rsidRPr="00842485">
              <w:t>60-79</w:t>
            </w:r>
          </w:p>
        </w:tc>
      </w:tr>
      <w:tr w:rsidR="00C75A6B" w:rsidRPr="00842485" w14:paraId="77F9FE19"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E046EF"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20E3FC7"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17B17FED" w14:textId="77777777" w:rsidR="00C75A6B" w:rsidRPr="00842485" w:rsidRDefault="00C75A6B" w:rsidP="00C75A6B">
            <w:pPr>
              <w:pStyle w:val="Tabletext"/>
              <w:spacing w:before="40" w:after="40"/>
            </w:pPr>
            <w:r w:rsidRPr="00842485">
              <w:t>2.3.2</w:t>
            </w:r>
          </w:p>
        </w:tc>
        <w:tc>
          <w:tcPr>
            <w:tcW w:w="3438" w:type="dxa"/>
            <w:tcBorders>
              <w:top w:val="nil"/>
              <w:left w:val="nil"/>
              <w:bottom w:val="single" w:sz="4" w:space="0" w:color="auto"/>
              <w:right w:val="single" w:sz="4" w:space="0" w:color="auto"/>
            </w:tcBorders>
            <w:shd w:val="clear" w:color="auto" w:fill="auto"/>
            <w:vAlign w:val="center"/>
            <w:hideMark/>
          </w:tcPr>
          <w:p w14:paraId="0F855748" w14:textId="77777777" w:rsidR="00C75A6B" w:rsidRPr="00842485" w:rsidRDefault="00C75A6B" w:rsidP="00C75A6B">
            <w:pPr>
              <w:pStyle w:val="Tabletext"/>
              <w:spacing w:before="40" w:after="40"/>
            </w:pPr>
            <w:r w:rsidRPr="00842485">
              <w:t>Management</w:t>
            </w:r>
          </w:p>
        </w:tc>
        <w:tc>
          <w:tcPr>
            <w:tcW w:w="1485" w:type="dxa"/>
            <w:tcBorders>
              <w:top w:val="nil"/>
              <w:left w:val="nil"/>
              <w:bottom w:val="single" w:sz="4" w:space="0" w:color="auto"/>
              <w:right w:val="single" w:sz="4" w:space="0" w:color="auto"/>
            </w:tcBorders>
            <w:shd w:val="clear" w:color="auto" w:fill="FFC000"/>
          </w:tcPr>
          <w:p w14:paraId="097210C5" w14:textId="77777777" w:rsidR="00C75A6B" w:rsidRPr="00842485" w:rsidRDefault="00C75A6B" w:rsidP="00C75A6B">
            <w:pPr>
              <w:pStyle w:val="Tabletext"/>
              <w:spacing w:before="40" w:after="40"/>
              <w:jc w:val="center"/>
            </w:pPr>
            <w:r w:rsidRPr="00842485">
              <w:t>60-79</w:t>
            </w:r>
          </w:p>
        </w:tc>
      </w:tr>
      <w:tr w:rsidR="00C75A6B" w:rsidRPr="00842485" w14:paraId="4F7843C5"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C960F8D"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3DF617A"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1BAB4337" w14:textId="77777777" w:rsidR="00C75A6B" w:rsidRPr="00842485" w:rsidRDefault="00C75A6B" w:rsidP="00C75A6B">
            <w:pPr>
              <w:pStyle w:val="Tabletext"/>
              <w:spacing w:before="40" w:after="40"/>
            </w:pPr>
            <w:r w:rsidRPr="00842485">
              <w:t>2.3.3</w:t>
            </w:r>
          </w:p>
        </w:tc>
        <w:tc>
          <w:tcPr>
            <w:tcW w:w="3438" w:type="dxa"/>
            <w:tcBorders>
              <w:top w:val="nil"/>
              <w:left w:val="nil"/>
              <w:bottom w:val="single" w:sz="4" w:space="0" w:color="auto"/>
              <w:right w:val="single" w:sz="4" w:space="0" w:color="auto"/>
            </w:tcBorders>
            <w:shd w:val="clear" w:color="auto" w:fill="auto"/>
            <w:vAlign w:val="center"/>
            <w:hideMark/>
          </w:tcPr>
          <w:p w14:paraId="143E49CF" w14:textId="77777777" w:rsidR="00C75A6B" w:rsidRPr="00842485" w:rsidRDefault="00C75A6B" w:rsidP="00C75A6B">
            <w:pPr>
              <w:pStyle w:val="Tabletext"/>
              <w:spacing w:before="40" w:after="40"/>
            </w:pPr>
            <w:r w:rsidRPr="00842485">
              <w:t>Information</w:t>
            </w:r>
          </w:p>
        </w:tc>
        <w:tc>
          <w:tcPr>
            <w:tcW w:w="1485" w:type="dxa"/>
            <w:tcBorders>
              <w:top w:val="nil"/>
              <w:left w:val="nil"/>
              <w:bottom w:val="single" w:sz="4" w:space="0" w:color="auto"/>
              <w:right w:val="single" w:sz="4" w:space="0" w:color="auto"/>
            </w:tcBorders>
            <w:shd w:val="clear" w:color="auto" w:fill="FFC000"/>
          </w:tcPr>
          <w:p w14:paraId="34A23FD9" w14:textId="77777777" w:rsidR="00C75A6B" w:rsidRPr="00842485" w:rsidRDefault="00C75A6B" w:rsidP="00C75A6B">
            <w:pPr>
              <w:pStyle w:val="Tabletext"/>
              <w:spacing w:before="40" w:after="40"/>
              <w:jc w:val="center"/>
            </w:pPr>
            <w:r w:rsidRPr="00842485">
              <w:t>60-79</w:t>
            </w:r>
          </w:p>
        </w:tc>
      </w:tr>
      <w:tr w:rsidR="00C75A6B" w:rsidRPr="00842485" w14:paraId="488E365E"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3CCB189" w14:textId="77777777" w:rsidR="00C75A6B" w:rsidRPr="00842485" w:rsidRDefault="00C75A6B" w:rsidP="00C75A6B">
            <w:pPr>
              <w:pStyle w:val="Tabletext"/>
              <w:spacing w:before="40" w:after="40"/>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C3ADDB" w14:textId="77777777" w:rsidR="00C75A6B" w:rsidRPr="00842485" w:rsidRDefault="00C75A6B" w:rsidP="007E61FF">
            <w:pPr>
              <w:pStyle w:val="Tabletext"/>
              <w:spacing w:before="40" w:after="40"/>
              <w:jc w:val="left"/>
            </w:pPr>
            <w:r w:rsidRPr="00842485">
              <w:t>Habitats</w:t>
            </w:r>
          </w:p>
        </w:tc>
        <w:tc>
          <w:tcPr>
            <w:tcW w:w="622" w:type="dxa"/>
            <w:tcBorders>
              <w:top w:val="nil"/>
              <w:left w:val="nil"/>
              <w:bottom w:val="single" w:sz="4" w:space="0" w:color="auto"/>
              <w:right w:val="single" w:sz="4" w:space="0" w:color="auto"/>
            </w:tcBorders>
            <w:shd w:val="clear" w:color="auto" w:fill="auto"/>
            <w:vAlign w:val="center"/>
            <w:hideMark/>
          </w:tcPr>
          <w:p w14:paraId="63F1A9A3" w14:textId="77777777" w:rsidR="00C75A6B" w:rsidRPr="00842485" w:rsidRDefault="00C75A6B" w:rsidP="00C75A6B">
            <w:pPr>
              <w:pStyle w:val="Tabletext"/>
              <w:spacing w:before="40" w:after="40"/>
            </w:pPr>
            <w:r w:rsidRPr="00842485">
              <w:t>2.4.1</w:t>
            </w:r>
          </w:p>
        </w:tc>
        <w:tc>
          <w:tcPr>
            <w:tcW w:w="3438" w:type="dxa"/>
            <w:tcBorders>
              <w:top w:val="nil"/>
              <w:left w:val="nil"/>
              <w:bottom w:val="single" w:sz="4" w:space="0" w:color="auto"/>
              <w:right w:val="single" w:sz="4" w:space="0" w:color="auto"/>
            </w:tcBorders>
            <w:shd w:val="clear" w:color="auto" w:fill="auto"/>
            <w:vAlign w:val="center"/>
            <w:hideMark/>
          </w:tcPr>
          <w:p w14:paraId="4905AE74" w14:textId="77777777" w:rsidR="00C75A6B" w:rsidRPr="00842485" w:rsidRDefault="00C75A6B" w:rsidP="00C75A6B">
            <w:pPr>
              <w:pStyle w:val="Tabletext"/>
              <w:spacing w:before="40" w:after="40"/>
            </w:pPr>
            <w:r w:rsidRPr="00842485">
              <w:t>Outcome</w:t>
            </w:r>
          </w:p>
        </w:tc>
        <w:tc>
          <w:tcPr>
            <w:tcW w:w="1485" w:type="dxa"/>
            <w:tcBorders>
              <w:top w:val="nil"/>
              <w:left w:val="nil"/>
              <w:bottom w:val="single" w:sz="4" w:space="0" w:color="auto"/>
              <w:right w:val="single" w:sz="4" w:space="0" w:color="auto"/>
            </w:tcBorders>
            <w:shd w:val="clear" w:color="auto" w:fill="92D050"/>
            <w:vAlign w:val="center"/>
          </w:tcPr>
          <w:p w14:paraId="7A02629E"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7AA8C5AA"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2C88E71"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30D33CF"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1C894CDD" w14:textId="77777777" w:rsidR="00C75A6B" w:rsidRPr="00842485" w:rsidRDefault="00C75A6B" w:rsidP="00C75A6B">
            <w:pPr>
              <w:pStyle w:val="Tabletext"/>
              <w:spacing w:before="40" w:after="40"/>
            </w:pPr>
            <w:r w:rsidRPr="00842485">
              <w:t>2.4.2</w:t>
            </w:r>
          </w:p>
        </w:tc>
        <w:tc>
          <w:tcPr>
            <w:tcW w:w="3438" w:type="dxa"/>
            <w:tcBorders>
              <w:top w:val="nil"/>
              <w:left w:val="nil"/>
              <w:bottom w:val="single" w:sz="4" w:space="0" w:color="auto"/>
              <w:right w:val="single" w:sz="4" w:space="0" w:color="auto"/>
            </w:tcBorders>
            <w:shd w:val="clear" w:color="auto" w:fill="auto"/>
            <w:vAlign w:val="center"/>
            <w:hideMark/>
          </w:tcPr>
          <w:p w14:paraId="5A568AC2" w14:textId="77777777" w:rsidR="00C75A6B" w:rsidRPr="00842485" w:rsidRDefault="00C75A6B" w:rsidP="00C75A6B">
            <w:pPr>
              <w:pStyle w:val="Tabletext"/>
              <w:spacing w:before="40" w:after="40"/>
            </w:pPr>
            <w:r w:rsidRPr="00842485">
              <w:t>Management</w:t>
            </w:r>
          </w:p>
        </w:tc>
        <w:tc>
          <w:tcPr>
            <w:tcW w:w="1485" w:type="dxa"/>
            <w:tcBorders>
              <w:top w:val="nil"/>
              <w:left w:val="nil"/>
              <w:bottom w:val="single" w:sz="4" w:space="0" w:color="auto"/>
              <w:right w:val="single" w:sz="4" w:space="0" w:color="auto"/>
            </w:tcBorders>
            <w:shd w:val="clear" w:color="auto" w:fill="92D050"/>
          </w:tcPr>
          <w:p w14:paraId="45161176"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4BDD8F3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7B3F6E1" w14:textId="77777777" w:rsidR="00C75A6B" w:rsidRPr="00842485" w:rsidRDefault="00C75A6B" w:rsidP="00C75A6B">
            <w:pPr>
              <w:spacing w:before="40" w:after="40"/>
              <w:rPr>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E12F3C7" w14:textId="77777777" w:rsidR="00C75A6B" w:rsidRPr="00842485" w:rsidRDefault="00C75A6B" w:rsidP="007E61FF">
            <w:pPr>
              <w:pStyle w:val="Tabletext"/>
              <w:spacing w:before="40" w:after="40"/>
              <w:jc w:val="left"/>
              <w:rPr>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081ECB33" w14:textId="77777777" w:rsidR="00C75A6B" w:rsidRPr="00842485" w:rsidRDefault="00C75A6B" w:rsidP="00C75A6B">
            <w:pPr>
              <w:pStyle w:val="Tabletext"/>
              <w:spacing w:before="40" w:after="40"/>
              <w:rPr>
                <w:color w:val="000000"/>
                <w:szCs w:val="20"/>
              </w:rPr>
            </w:pPr>
            <w:r w:rsidRPr="00842485">
              <w:rPr>
                <w:color w:val="000000"/>
                <w:szCs w:val="20"/>
              </w:rPr>
              <w:t>2.4.3</w:t>
            </w:r>
          </w:p>
        </w:tc>
        <w:tc>
          <w:tcPr>
            <w:tcW w:w="3438" w:type="dxa"/>
            <w:tcBorders>
              <w:top w:val="nil"/>
              <w:left w:val="nil"/>
              <w:bottom w:val="single" w:sz="4" w:space="0" w:color="auto"/>
              <w:right w:val="single" w:sz="4" w:space="0" w:color="auto"/>
            </w:tcBorders>
            <w:shd w:val="clear" w:color="auto" w:fill="auto"/>
            <w:vAlign w:val="center"/>
            <w:hideMark/>
          </w:tcPr>
          <w:p w14:paraId="206615F5" w14:textId="77777777" w:rsidR="00C75A6B" w:rsidRPr="00842485" w:rsidRDefault="00C75A6B" w:rsidP="00C75A6B">
            <w:pPr>
              <w:pStyle w:val="Tabletext"/>
              <w:spacing w:before="40" w:after="40"/>
              <w:rPr>
                <w:color w:val="000000"/>
                <w:szCs w:val="20"/>
              </w:rPr>
            </w:pPr>
            <w:r w:rsidRPr="00842485">
              <w:rPr>
                <w:color w:val="000000"/>
                <w:szCs w:val="20"/>
              </w:rPr>
              <w:t>Information</w:t>
            </w:r>
          </w:p>
        </w:tc>
        <w:tc>
          <w:tcPr>
            <w:tcW w:w="1485" w:type="dxa"/>
            <w:tcBorders>
              <w:top w:val="nil"/>
              <w:left w:val="nil"/>
              <w:bottom w:val="single" w:sz="4" w:space="0" w:color="auto"/>
              <w:right w:val="single" w:sz="4" w:space="0" w:color="auto"/>
            </w:tcBorders>
            <w:shd w:val="clear" w:color="auto" w:fill="92D050"/>
          </w:tcPr>
          <w:p w14:paraId="076514D9" w14:textId="77777777" w:rsidR="00C75A6B" w:rsidRPr="00842485" w:rsidRDefault="00C75A6B" w:rsidP="00C75A6B">
            <w:pPr>
              <w:pStyle w:val="Tabletext"/>
              <w:spacing w:before="40" w:after="40"/>
              <w:jc w:val="center"/>
              <w:rPr>
                <w:color w:val="000000"/>
                <w:szCs w:val="20"/>
              </w:rPr>
            </w:pPr>
            <w:r w:rsidRPr="00842485">
              <w:rPr>
                <w:rFonts w:cs="Arial"/>
                <w:color w:val="000000"/>
                <w:lang w:eastAsia="en-GB"/>
              </w:rPr>
              <w:t>≥80</w:t>
            </w:r>
          </w:p>
        </w:tc>
      </w:tr>
      <w:tr w:rsidR="00C75A6B" w:rsidRPr="00842485" w14:paraId="3AEC82E2"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DCB13C9" w14:textId="77777777" w:rsidR="00C75A6B" w:rsidRPr="00842485" w:rsidRDefault="00C75A6B" w:rsidP="00C75A6B">
            <w:pPr>
              <w:spacing w:before="40" w:after="40"/>
              <w:rPr>
                <w:color w:val="000000"/>
                <w:sz w:val="20"/>
                <w:szCs w:val="20"/>
              </w:rPr>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C2B659" w14:textId="77777777" w:rsidR="00C75A6B" w:rsidRPr="00842485" w:rsidRDefault="00C75A6B" w:rsidP="007E61FF">
            <w:pPr>
              <w:pStyle w:val="Tabletext"/>
              <w:spacing w:before="40" w:after="40"/>
              <w:jc w:val="left"/>
              <w:rPr>
                <w:color w:val="000000"/>
                <w:szCs w:val="20"/>
              </w:rPr>
            </w:pPr>
            <w:r w:rsidRPr="00842485">
              <w:rPr>
                <w:color w:val="000000"/>
                <w:szCs w:val="20"/>
              </w:rPr>
              <w:t>Ecosystem</w:t>
            </w:r>
          </w:p>
        </w:tc>
        <w:tc>
          <w:tcPr>
            <w:tcW w:w="622" w:type="dxa"/>
            <w:tcBorders>
              <w:top w:val="nil"/>
              <w:left w:val="nil"/>
              <w:bottom w:val="single" w:sz="4" w:space="0" w:color="auto"/>
              <w:right w:val="single" w:sz="4" w:space="0" w:color="auto"/>
            </w:tcBorders>
            <w:shd w:val="clear" w:color="auto" w:fill="auto"/>
            <w:vAlign w:val="center"/>
            <w:hideMark/>
          </w:tcPr>
          <w:p w14:paraId="42DA543E" w14:textId="77777777" w:rsidR="00C75A6B" w:rsidRPr="00842485" w:rsidRDefault="00C75A6B" w:rsidP="00C75A6B">
            <w:pPr>
              <w:pStyle w:val="Tabletext"/>
              <w:spacing w:before="40" w:after="40"/>
              <w:rPr>
                <w:color w:val="000000"/>
                <w:szCs w:val="20"/>
              </w:rPr>
            </w:pPr>
            <w:r w:rsidRPr="00842485">
              <w:rPr>
                <w:color w:val="000000"/>
                <w:szCs w:val="20"/>
              </w:rPr>
              <w:t>2.5.1</w:t>
            </w:r>
          </w:p>
        </w:tc>
        <w:tc>
          <w:tcPr>
            <w:tcW w:w="3438" w:type="dxa"/>
            <w:tcBorders>
              <w:top w:val="nil"/>
              <w:left w:val="nil"/>
              <w:bottom w:val="single" w:sz="4" w:space="0" w:color="auto"/>
              <w:right w:val="single" w:sz="4" w:space="0" w:color="auto"/>
            </w:tcBorders>
            <w:shd w:val="clear" w:color="auto" w:fill="auto"/>
            <w:vAlign w:val="center"/>
            <w:hideMark/>
          </w:tcPr>
          <w:p w14:paraId="4CDE952E" w14:textId="77777777" w:rsidR="00C75A6B" w:rsidRPr="00842485" w:rsidRDefault="00C75A6B" w:rsidP="00C75A6B">
            <w:pPr>
              <w:pStyle w:val="Tabletext"/>
              <w:spacing w:before="40" w:after="40"/>
              <w:rPr>
                <w:color w:val="000000"/>
                <w:szCs w:val="20"/>
              </w:rPr>
            </w:pPr>
            <w:r w:rsidRPr="00842485">
              <w:rPr>
                <w:color w:val="000000"/>
                <w:szCs w:val="20"/>
              </w:rPr>
              <w:t>Outcome</w:t>
            </w:r>
          </w:p>
        </w:tc>
        <w:tc>
          <w:tcPr>
            <w:tcW w:w="1485" w:type="dxa"/>
            <w:tcBorders>
              <w:top w:val="nil"/>
              <w:left w:val="nil"/>
              <w:bottom w:val="single" w:sz="4" w:space="0" w:color="auto"/>
              <w:right w:val="single" w:sz="4" w:space="0" w:color="auto"/>
            </w:tcBorders>
            <w:shd w:val="clear" w:color="auto" w:fill="92D050"/>
            <w:vAlign w:val="center"/>
          </w:tcPr>
          <w:p w14:paraId="120DEA91" w14:textId="77777777" w:rsidR="00C75A6B" w:rsidRPr="00842485" w:rsidRDefault="004F7AA2" w:rsidP="00C75A6B">
            <w:pPr>
              <w:pStyle w:val="Tabletext"/>
              <w:spacing w:before="40" w:after="40"/>
              <w:jc w:val="center"/>
              <w:rPr>
                <w:color w:val="000000"/>
                <w:szCs w:val="20"/>
              </w:rPr>
            </w:pPr>
            <w:r w:rsidRPr="00842485">
              <w:rPr>
                <w:rFonts w:cs="Arial"/>
                <w:color w:val="000000"/>
                <w:lang w:eastAsia="en-GB"/>
              </w:rPr>
              <w:t>≥80</w:t>
            </w:r>
          </w:p>
        </w:tc>
      </w:tr>
      <w:tr w:rsidR="00C75A6B" w:rsidRPr="00842485" w14:paraId="129052AC"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E65F983" w14:textId="77777777" w:rsidR="00C75A6B" w:rsidRPr="00842485" w:rsidRDefault="00C75A6B" w:rsidP="00C75A6B">
            <w:pPr>
              <w:spacing w:before="40" w:after="40"/>
              <w:rPr>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21CF29" w14:textId="77777777" w:rsidR="00C75A6B" w:rsidRPr="00842485" w:rsidRDefault="00C75A6B" w:rsidP="007E61FF">
            <w:pPr>
              <w:pStyle w:val="Tabletext"/>
              <w:spacing w:before="40" w:after="40"/>
              <w:jc w:val="left"/>
              <w:rPr>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3115370E" w14:textId="77777777" w:rsidR="00C75A6B" w:rsidRPr="00842485" w:rsidRDefault="00C75A6B" w:rsidP="00C75A6B">
            <w:pPr>
              <w:pStyle w:val="Tabletext"/>
              <w:spacing w:before="40" w:after="40"/>
              <w:rPr>
                <w:color w:val="000000"/>
                <w:szCs w:val="20"/>
              </w:rPr>
            </w:pPr>
            <w:r w:rsidRPr="00842485">
              <w:rPr>
                <w:color w:val="000000"/>
                <w:szCs w:val="20"/>
              </w:rPr>
              <w:t>2.5.2</w:t>
            </w:r>
          </w:p>
        </w:tc>
        <w:tc>
          <w:tcPr>
            <w:tcW w:w="3438" w:type="dxa"/>
            <w:tcBorders>
              <w:top w:val="nil"/>
              <w:left w:val="nil"/>
              <w:bottom w:val="single" w:sz="4" w:space="0" w:color="auto"/>
              <w:right w:val="single" w:sz="4" w:space="0" w:color="auto"/>
            </w:tcBorders>
            <w:shd w:val="clear" w:color="auto" w:fill="auto"/>
            <w:vAlign w:val="center"/>
            <w:hideMark/>
          </w:tcPr>
          <w:p w14:paraId="15EDE1CA" w14:textId="77777777" w:rsidR="00C75A6B" w:rsidRPr="00842485" w:rsidRDefault="00C75A6B" w:rsidP="00C75A6B">
            <w:pPr>
              <w:pStyle w:val="Tabletext"/>
              <w:spacing w:before="40" w:after="40"/>
              <w:rPr>
                <w:color w:val="000000"/>
                <w:szCs w:val="20"/>
              </w:rPr>
            </w:pPr>
            <w:r w:rsidRPr="00842485">
              <w:rPr>
                <w:color w:val="000000"/>
                <w:szCs w:val="20"/>
              </w:rPr>
              <w:t>Management</w:t>
            </w:r>
          </w:p>
        </w:tc>
        <w:tc>
          <w:tcPr>
            <w:tcW w:w="1485" w:type="dxa"/>
            <w:tcBorders>
              <w:top w:val="nil"/>
              <w:left w:val="nil"/>
              <w:bottom w:val="single" w:sz="4" w:space="0" w:color="auto"/>
              <w:right w:val="single" w:sz="4" w:space="0" w:color="auto"/>
            </w:tcBorders>
            <w:shd w:val="clear" w:color="auto" w:fill="92D050"/>
            <w:vAlign w:val="center"/>
          </w:tcPr>
          <w:p w14:paraId="61FBC3B8" w14:textId="77777777" w:rsidR="00C75A6B" w:rsidRPr="00842485" w:rsidRDefault="00C75A6B" w:rsidP="00C75A6B">
            <w:pPr>
              <w:pStyle w:val="Tabletext"/>
              <w:spacing w:before="40" w:after="40"/>
              <w:jc w:val="center"/>
              <w:rPr>
                <w:color w:val="000000"/>
                <w:szCs w:val="20"/>
              </w:rPr>
            </w:pPr>
            <w:r w:rsidRPr="00842485">
              <w:rPr>
                <w:rFonts w:cs="Arial"/>
                <w:color w:val="000000"/>
                <w:lang w:eastAsia="en-GB"/>
              </w:rPr>
              <w:t>≥80</w:t>
            </w:r>
          </w:p>
        </w:tc>
      </w:tr>
      <w:tr w:rsidR="00C75A6B" w:rsidRPr="00842485" w14:paraId="790BD318"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5C04861" w14:textId="77777777" w:rsidR="00C75A6B" w:rsidRPr="00842485" w:rsidRDefault="00C75A6B" w:rsidP="00C75A6B">
            <w:pPr>
              <w:spacing w:before="40" w:after="40"/>
              <w:rPr>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CA59E68" w14:textId="77777777" w:rsidR="00C75A6B" w:rsidRPr="00842485" w:rsidRDefault="00C75A6B" w:rsidP="007E61FF">
            <w:pPr>
              <w:pStyle w:val="Tabletext"/>
              <w:spacing w:before="40" w:after="40"/>
              <w:jc w:val="left"/>
              <w:rPr>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78BAEE91" w14:textId="77777777" w:rsidR="00C75A6B" w:rsidRPr="00842485" w:rsidRDefault="00C75A6B" w:rsidP="00C75A6B">
            <w:pPr>
              <w:pStyle w:val="Tabletext"/>
              <w:spacing w:before="40" w:after="40"/>
              <w:rPr>
                <w:color w:val="000000"/>
                <w:szCs w:val="20"/>
              </w:rPr>
            </w:pPr>
            <w:r w:rsidRPr="00842485">
              <w:rPr>
                <w:color w:val="000000"/>
                <w:szCs w:val="20"/>
              </w:rPr>
              <w:t>2.5.3</w:t>
            </w:r>
          </w:p>
        </w:tc>
        <w:tc>
          <w:tcPr>
            <w:tcW w:w="3438" w:type="dxa"/>
            <w:tcBorders>
              <w:top w:val="nil"/>
              <w:left w:val="nil"/>
              <w:bottom w:val="single" w:sz="4" w:space="0" w:color="auto"/>
              <w:right w:val="single" w:sz="4" w:space="0" w:color="auto"/>
            </w:tcBorders>
            <w:shd w:val="clear" w:color="auto" w:fill="auto"/>
            <w:vAlign w:val="center"/>
            <w:hideMark/>
          </w:tcPr>
          <w:p w14:paraId="365F3B5E" w14:textId="77777777" w:rsidR="00C75A6B" w:rsidRPr="00842485" w:rsidRDefault="00C75A6B" w:rsidP="00C75A6B">
            <w:pPr>
              <w:pStyle w:val="Tabletext"/>
              <w:spacing w:before="40" w:after="40"/>
              <w:rPr>
                <w:color w:val="000000"/>
                <w:szCs w:val="20"/>
              </w:rPr>
            </w:pPr>
            <w:r w:rsidRPr="00842485">
              <w:rPr>
                <w:color w:val="000000"/>
                <w:szCs w:val="20"/>
              </w:rPr>
              <w:t>Information</w:t>
            </w:r>
          </w:p>
        </w:tc>
        <w:tc>
          <w:tcPr>
            <w:tcW w:w="1485" w:type="dxa"/>
            <w:tcBorders>
              <w:top w:val="nil"/>
              <w:left w:val="nil"/>
              <w:bottom w:val="single" w:sz="4" w:space="0" w:color="auto"/>
              <w:right w:val="single" w:sz="4" w:space="0" w:color="auto"/>
            </w:tcBorders>
            <w:shd w:val="clear" w:color="auto" w:fill="92D050"/>
            <w:vAlign w:val="center"/>
          </w:tcPr>
          <w:p w14:paraId="7E756760" w14:textId="77777777" w:rsidR="00C75A6B" w:rsidRPr="00842485" w:rsidRDefault="00C75A6B" w:rsidP="00C75A6B">
            <w:pPr>
              <w:pStyle w:val="Tabletext"/>
              <w:spacing w:before="40" w:after="40"/>
              <w:jc w:val="center"/>
              <w:rPr>
                <w:color w:val="000000"/>
                <w:szCs w:val="20"/>
              </w:rPr>
            </w:pPr>
            <w:r w:rsidRPr="00842485">
              <w:rPr>
                <w:rFonts w:cs="Arial"/>
                <w:color w:val="000000"/>
                <w:lang w:eastAsia="en-GB"/>
              </w:rPr>
              <w:t>≥80</w:t>
            </w:r>
          </w:p>
        </w:tc>
      </w:tr>
      <w:tr w:rsidR="00C75A6B" w:rsidRPr="00842485" w14:paraId="63ACEF99"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AE3E6C" w14:textId="77777777" w:rsidR="00C75A6B" w:rsidRPr="00842485" w:rsidRDefault="00C75A6B" w:rsidP="00C75A6B">
            <w:pPr>
              <w:pStyle w:val="Tabletext"/>
              <w:spacing w:before="40" w:after="40"/>
            </w:pPr>
            <w:r w:rsidRPr="00842485">
              <w:t>3</w:t>
            </w:r>
          </w:p>
        </w:tc>
        <w:tc>
          <w:tcPr>
            <w:tcW w:w="1855"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9D9512" w14:textId="77777777" w:rsidR="00C75A6B" w:rsidRPr="00842485" w:rsidRDefault="00C75A6B" w:rsidP="007E61FF">
            <w:pPr>
              <w:pStyle w:val="Tabletext"/>
              <w:spacing w:before="40" w:after="40"/>
              <w:jc w:val="left"/>
            </w:pPr>
            <w:r w:rsidRPr="00842485">
              <w:t>Governance &amp; policy</w:t>
            </w:r>
          </w:p>
        </w:tc>
        <w:tc>
          <w:tcPr>
            <w:tcW w:w="622" w:type="dxa"/>
            <w:tcBorders>
              <w:top w:val="nil"/>
              <w:left w:val="nil"/>
              <w:bottom w:val="single" w:sz="4" w:space="0" w:color="auto"/>
              <w:right w:val="single" w:sz="4" w:space="0" w:color="auto"/>
            </w:tcBorders>
            <w:shd w:val="clear" w:color="auto" w:fill="auto"/>
            <w:vAlign w:val="center"/>
            <w:hideMark/>
          </w:tcPr>
          <w:p w14:paraId="706C933A" w14:textId="77777777" w:rsidR="00C75A6B" w:rsidRPr="00842485" w:rsidRDefault="00C75A6B" w:rsidP="00C75A6B">
            <w:pPr>
              <w:pStyle w:val="Tabletext"/>
              <w:spacing w:before="40" w:after="40"/>
            </w:pPr>
            <w:r w:rsidRPr="00842485">
              <w:t>3.1.1</w:t>
            </w:r>
          </w:p>
        </w:tc>
        <w:tc>
          <w:tcPr>
            <w:tcW w:w="3438" w:type="dxa"/>
            <w:tcBorders>
              <w:top w:val="nil"/>
              <w:left w:val="nil"/>
              <w:bottom w:val="single" w:sz="4" w:space="0" w:color="auto"/>
              <w:right w:val="single" w:sz="4" w:space="0" w:color="auto"/>
            </w:tcBorders>
            <w:shd w:val="clear" w:color="auto" w:fill="auto"/>
            <w:vAlign w:val="center"/>
            <w:hideMark/>
          </w:tcPr>
          <w:p w14:paraId="1059010C" w14:textId="77777777" w:rsidR="00C75A6B" w:rsidRPr="00842485" w:rsidRDefault="00C75A6B" w:rsidP="00C75A6B">
            <w:pPr>
              <w:pStyle w:val="Tabletext"/>
              <w:spacing w:before="40" w:after="40"/>
            </w:pPr>
            <w:r w:rsidRPr="00842485">
              <w:t>Legal and customary framework</w:t>
            </w:r>
          </w:p>
        </w:tc>
        <w:tc>
          <w:tcPr>
            <w:tcW w:w="1485" w:type="dxa"/>
            <w:tcBorders>
              <w:top w:val="nil"/>
              <w:left w:val="nil"/>
              <w:bottom w:val="single" w:sz="4" w:space="0" w:color="auto"/>
              <w:right w:val="single" w:sz="4" w:space="0" w:color="auto"/>
            </w:tcBorders>
            <w:shd w:val="clear" w:color="auto" w:fill="92D050"/>
            <w:vAlign w:val="center"/>
          </w:tcPr>
          <w:p w14:paraId="4189EF45"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1E0E2074"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70AFFF"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A1CCDAA"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0E0AA856" w14:textId="77777777" w:rsidR="00C75A6B" w:rsidRPr="00842485" w:rsidRDefault="00C75A6B" w:rsidP="00C75A6B">
            <w:pPr>
              <w:pStyle w:val="Tabletext"/>
              <w:spacing w:before="40" w:after="40"/>
            </w:pPr>
            <w:r w:rsidRPr="00842485">
              <w:t>3.1.2</w:t>
            </w:r>
          </w:p>
        </w:tc>
        <w:tc>
          <w:tcPr>
            <w:tcW w:w="3438" w:type="dxa"/>
            <w:tcBorders>
              <w:top w:val="nil"/>
              <w:left w:val="nil"/>
              <w:bottom w:val="single" w:sz="4" w:space="0" w:color="auto"/>
              <w:right w:val="single" w:sz="4" w:space="0" w:color="auto"/>
            </w:tcBorders>
            <w:shd w:val="clear" w:color="auto" w:fill="auto"/>
            <w:vAlign w:val="center"/>
            <w:hideMark/>
          </w:tcPr>
          <w:p w14:paraId="49E899D9" w14:textId="77777777" w:rsidR="00C75A6B" w:rsidRPr="00842485" w:rsidRDefault="00C75A6B" w:rsidP="00C75A6B">
            <w:pPr>
              <w:pStyle w:val="Tabletext"/>
              <w:spacing w:before="40" w:after="40"/>
            </w:pPr>
            <w:r w:rsidRPr="00842485">
              <w:t>Consultation, roles and responsibilities</w:t>
            </w:r>
          </w:p>
        </w:tc>
        <w:tc>
          <w:tcPr>
            <w:tcW w:w="1485" w:type="dxa"/>
            <w:tcBorders>
              <w:top w:val="nil"/>
              <w:left w:val="nil"/>
              <w:bottom w:val="single" w:sz="4" w:space="0" w:color="auto"/>
              <w:right w:val="single" w:sz="4" w:space="0" w:color="auto"/>
            </w:tcBorders>
            <w:shd w:val="clear" w:color="auto" w:fill="92D050"/>
            <w:vAlign w:val="center"/>
          </w:tcPr>
          <w:p w14:paraId="7B62F2EB"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75A37D48"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EFFB804"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3433BEE" w14:textId="77777777" w:rsidR="00C75A6B" w:rsidRPr="00842485" w:rsidRDefault="00C75A6B" w:rsidP="007E61FF">
            <w:pPr>
              <w:pStyle w:val="Tabletext"/>
              <w:spacing w:before="40" w:after="40"/>
              <w:jc w:val="left"/>
            </w:pPr>
          </w:p>
        </w:tc>
        <w:tc>
          <w:tcPr>
            <w:tcW w:w="622" w:type="dxa"/>
            <w:tcBorders>
              <w:top w:val="nil"/>
              <w:left w:val="nil"/>
              <w:bottom w:val="single" w:sz="4" w:space="0" w:color="auto"/>
              <w:right w:val="single" w:sz="4" w:space="0" w:color="auto"/>
            </w:tcBorders>
            <w:shd w:val="clear" w:color="auto" w:fill="auto"/>
            <w:vAlign w:val="center"/>
            <w:hideMark/>
          </w:tcPr>
          <w:p w14:paraId="555F086E" w14:textId="77777777" w:rsidR="00C75A6B" w:rsidRPr="00842485" w:rsidRDefault="00C75A6B" w:rsidP="00C75A6B">
            <w:pPr>
              <w:pStyle w:val="Tabletext"/>
              <w:spacing w:before="40" w:after="40"/>
            </w:pPr>
            <w:r w:rsidRPr="00842485">
              <w:t>3.1.3</w:t>
            </w:r>
          </w:p>
        </w:tc>
        <w:tc>
          <w:tcPr>
            <w:tcW w:w="3438" w:type="dxa"/>
            <w:tcBorders>
              <w:top w:val="nil"/>
              <w:left w:val="nil"/>
              <w:bottom w:val="single" w:sz="4" w:space="0" w:color="auto"/>
              <w:right w:val="single" w:sz="4" w:space="0" w:color="auto"/>
            </w:tcBorders>
            <w:shd w:val="clear" w:color="auto" w:fill="auto"/>
            <w:vAlign w:val="center"/>
            <w:hideMark/>
          </w:tcPr>
          <w:p w14:paraId="39D33E2D" w14:textId="77777777" w:rsidR="00C75A6B" w:rsidRPr="00842485" w:rsidRDefault="00C75A6B" w:rsidP="00C75A6B">
            <w:pPr>
              <w:pStyle w:val="Tabletext"/>
              <w:spacing w:before="40" w:after="40"/>
            </w:pPr>
            <w:r w:rsidRPr="00842485">
              <w:t>Long term objectives</w:t>
            </w:r>
          </w:p>
        </w:tc>
        <w:tc>
          <w:tcPr>
            <w:tcW w:w="1485" w:type="dxa"/>
            <w:tcBorders>
              <w:top w:val="nil"/>
              <w:left w:val="nil"/>
              <w:bottom w:val="single" w:sz="4" w:space="0" w:color="auto"/>
              <w:right w:val="single" w:sz="4" w:space="0" w:color="auto"/>
            </w:tcBorders>
            <w:shd w:val="clear" w:color="auto" w:fill="92D050"/>
            <w:vAlign w:val="center"/>
          </w:tcPr>
          <w:p w14:paraId="7805127F"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688C7485"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C0A29C5" w14:textId="77777777" w:rsidR="00C75A6B" w:rsidRPr="00842485" w:rsidRDefault="00C75A6B" w:rsidP="00C75A6B">
            <w:pPr>
              <w:pStyle w:val="Tabletext"/>
              <w:spacing w:before="40" w:after="40"/>
            </w:pPr>
          </w:p>
        </w:tc>
        <w:tc>
          <w:tcPr>
            <w:tcW w:w="1855"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CF132B9" w14:textId="77777777" w:rsidR="00C75A6B" w:rsidRPr="00842485" w:rsidRDefault="00C75A6B" w:rsidP="007E61FF">
            <w:pPr>
              <w:pStyle w:val="Tabletext"/>
              <w:spacing w:before="40" w:after="40"/>
              <w:jc w:val="left"/>
            </w:pPr>
            <w:r w:rsidRPr="00842485">
              <w:t>Fishery specific management system</w:t>
            </w:r>
          </w:p>
        </w:tc>
        <w:tc>
          <w:tcPr>
            <w:tcW w:w="622" w:type="dxa"/>
            <w:tcBorders>
              <w:top w:val="nil"/>
              <w:left w:val="nil"/>
              <w:bottom w:val="single" w:sz="4" w:space="0" w:color="auto"/>
              <w:right w:val="single" w:sz="4" w:space="0" w:color="auto"/>
            </w:tcBorders>
            <w:shd w:val="clear" w:color="auto" w:fill="auto"/>
            <w:vAlign w:val="center"/>
            <w:hideMark/>
          </w:tcPr>
          <w:p w14:paraId="5C33B9F9" w14:textId="77777777" w:rsidR="00C75A6B" w:rsidRPr="00842485" w:rsidRDefault="00C75A6B" w:rsidP="00C75A6B">
            <w:pPr>
              <w:pStyle w:val="Tabletext"/>
              <w:spacing w:before="40" w:after="40"/>
            </w:pPr>
            <w:r w:rsidRPr="00842485">
              <w:t>3.2.1</w:t>
            </w:r>
          </w:p>
        </w:tc>
        <w:tc>
          <w:tcPr>
            <w:tcW w:w="3438" w:type="dxa"/>
            <w:tcBorders>
              <w:top w:val="nil"/>
              <w:left w:val="nil"/>
              <w:bottom w:val="single" w:sz="4" w:space="0" w:color="auto"/>
              <w:right w:val="single" w:sz="4" w:space="0" w:color="auto"/>
            </w:tcBorders>
            <w:shd w:val="clear" w:color="auto" w:fill="auto"/>
            <w:vAlign w:val="center"/>
            <w:hideMark/>
          </w:tcPr>
          <w:p w14:paraId="47726C55" w14:textId="77777777" w:rsidR="00C75A6B" w:rsidRPr="00842485" w:rsidRDefault="00C75A6B" w:rsidP="00C75A6B">
            <w:pPr>
              <w:pStyle w:val="Tabletext"/>
              <w:spacing w:before="40" w:after="40"/>
            </w:pPr>
            <w:r w:rsidRPr="00842485">
              <w:t>Fishery specific objectives</w:t>
            </w:r>
          </w:p>
        </w:tc>
        <w:tc>
          <w:tcPr>
            <w:tcW w:w="1485" w:type="dxa"/>
            <w:tcBorders>
              <w:top w:val="nil"/>
              <w:left w:val="nil"/>
              <w:bottom w:val="single" w:sz="4" w:space="0" w:color="auto"/>
              <w:right w:val="single" w:sz="4" w:space="0" w:color="auto"/>
            </w:tcBorders>
            <w:shd w:val="clear" w:color="auto" w:fill="FFC000"/>
          </w:tcPr>
          <w:p w14:paraId="0BB2E1C8" w14:textId="77777777" w:rsidR="00C75A6B" w:rsidRPr="00842485" w:rsidRDefault="00C75A6B" w:rsidP="00C75A6B">
            <w:pPr>
              <w:pStyle w:val="Tabletext"/>
              <w:spacing w:before="40" w:after="40"/>
              <w:jc w:val="center"/>
            </w:pPr>
            <w:r w:rsidRPr="00842485">
              <w:t>60-79</w:t>
            </w:r>
          </w:p>
        </w:tc>
      </w:tr>
      <w:tr w:rsidR="00C75A6B" w:rsidRPr="00842485" w14:paraId="453D543F"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F5EFB5D"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DE11F4" w14:textId="77777777" w:rsidR="00C75A6B" w:rsidRPr="00842485" w:rsidRDefault="00C75A6B" w:rsidP="00C75A6B">
            <w:pPr>
              <w:pStyle w:val="Tabletext"/>
              <w:spacing w:before="40" w:after="40"/>
            </w:pPr>
          </w:p>
        </w:tc>
        <w:tc>
          <w:tcPr>
            <w:tcW w:w="622" w:type="dxa"/>
            <w:tcBorders>
              <w:top w:val="nil"/>
              <w:left w:val="nil"/>
              <w:bottom w:val="single" w:sz="4" w:space="0" w:color="auto"/>
              <w:right w:val="single" w:sz="4" w:space="0" w:color="auto"/>
            </w:tcBorders>
            <w:shd w:val="clear" w:color="auto" w:fill="auto"/>
            <w:vAlign w:val="center"/>
            <w:hideMark/>
          </w:tcPr>
          <w:p w14:paraId="47637829" w14:textId="77777777" w:rsidR="00C75A6B" w:rsidRPr="00842485" w:rsidRDefault="00C75A6B" w:rsidP="00C75A6B">
            <w:pPr>
              <w:pStyle w:val="Tabletext"/>
              <w:spacing w:before="40" w:after="40"/>
            </w:pPr>
            <w:r w:rsidRPr="00842485">
              <w:t>3.2.2</w:t>
            </w:r>
          </w:p>
        </w:tc>
        <w:tc>
          <w:tcPr>
            <w:tcW w:w="3438" w:type="dxa"/>
            <w:tcBorders>
              <w:top w:val="nil"/>
              <w:left w:val="nil"/>
              <w:bottom w:val="single" w:sz="4" w:space="0" w:color="auto"/>
              <w:right w:val="single" w:sz="4" w:space="0" w:color="auto"/>
            </w:tcBorders>
            <w:shd w:val="clear" w:color="auto" w:fill="auto"/>
            <w:vAlign w:val="center"/>
            <w:hideMark/>
          </w:tcPr>
          <w:p w14:paraId="4E05916A" w14:textId="77777777" w:rsidR="00C75A6B" w:rsidRPr="00842485" w:rsidRDefault="00C75A6B" w:rsidP="00C75A6B">
            <w:pPr>
              <w:pStyle w:val="Tabletext"/>
              <w:spacing w:before="40" w:after="40"/>
            </w:pPr>
            <w:r w:rsidRPr="00842485">
              <w:t>Decision making processes</w:t>
            </w:r>
          </w:p>
        </w:tc>
        <w:tc>
          <w:tcPr>
            <w:tcW w:w="1485" w:type="dxa"/>
            <w:tcBorders>
              <w:top w:val="nil"/>
              <w:left w:val="nil"/>
              <w:bottom w:val="single" w:sz="4" w:space="0" w:color="auto"/>
              <w:right w:val="single" w:sz="4" w:space="0" w:color="auto"/>
            </w:tcBorders>
            <w:shd w:val="clear" w:color="auto" w:fill="92D050"/>
          </w:tcPr>
          <w:p w14:paraId="46A86527"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20557504"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D5CEE0"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16E46FD" w14:textId="77777777" w:rsidR="00C75A6B" w:rsidRPr="00842485" w:rsidRDefault="00C75A6B" w:rsidP="00C75A6B">
            <w:pPr>
              <w:pStyle w:val="Tabletext"/>
              <w:spacing w:before="40" w:after="40"/>
            </w:pPr>
          </w:p>
        </w:tc>
        <w:tc>
          <w:tcPr>
            <w:tcW w:w="622" w:type="dxa"/>
            <w:tcBorders>
              <w:top w:val="nil"/>
              <w:left w:val="nil"/>
              <w:bottom w:val="single" w:sz="4" w:space="0" w:color="auto"/>
              <w:right w:val="single" w:sz="4" w:space="0" w:color="auto"/>
            </w:tcBorders>
            <w:shd w:val="clear" w:color="auto" w:fill="auto"/>
            <w:vAlign w:val="center"/>
            <w:hideMark/>
          </w:tcPr>
          <w:p w14:paraId="4EA602B2" w14:textId="77777777" w:rsidR="00C75A6B" w:rsidRPr="00842485" w:rsidRDefault="00C75A6B" w:rsidP="00C75A6B">
            <w:pPr>
              <w:pStyle w:val="Tabletext"/>
              <w:spacing w:before="40" w:after="40"/>
            </w:pPr>
            <w:r w:rsidRPr="00842485">
              <w:t>3.2.3</w:t>
            </w:r>
          </w:p>
        </w:tc>
        <w:tc>
          <w:tcPr>
            <w:tcW w:w="3438" w:type="dxa"/>
            <w:tcBorders>
              <w:top w:val="nil"/>
              <w:left w:val="nil"/>
              <w:bottom w:val="single" w:sz="4" w:space="0" w:color="auto"/>
              <w:right w:val="single" w:sz="4" w:space="0" w:color="auto"/>
            </w:tcBorders>
            <w:shd w:val="clear" w:color="auto" w:fill="auto"/>
            <w:vAlign w:val="center"/>
            <w:hideMark/>
          </w:tcPr>
          <w:p w14:paraId="51C235A3" w14:textId="77777777" w:rsidR="00C75A6B" w:rsidRPr="00842485" w:rsidRDefault="00C75A6B" w:rsidP="00C75A6B">
            <w:pPr>
              <w:pStyle w:val="Tabletext"/>
              <w:spacing w:before="40" w:after="40"/>
            </w:pPr>
            <w:r w:rsidRPr="00842485">
              <w:t>Compliance and enforcement</w:t>
            </w:r>
          </w:p>
        </w:tc>
        <w:tc>
          <w:tcPr>
            <w:tcW w:w="1485" w:type="dxa"/>
            <w:tcBorders>
              <w:top w:val="nil"/>
              <w:left w:val="nil"/>
              <w:bottom w:val="single" w:sz="4" w:space="0" w:color="auto"/>
              <w:right w:val="single" w:sz="4" w:space="0" w:color="auto"/>
            </w:tcBorders>
            <w:shd w:val="clear" w:color="auto" w:fill="92D050"/>
          </w:tcPr>
          <w:p w14:paraId="2290994A" w14:textId="77777777" w:rsidR="00C75A6B" w:rsidRPr="00842485" w:rsidRDefault="00C75A6B" w:rsidP="00C75A6B">
            <w:pPr>
              <w:pStyle w:val="Tabletext"/>
              <w:spacing w:before="40" w:after="40"/>
              <w:jc w:val="center"/>
            </w:pPr>
            <w:r w:rsidRPr="00842485">
              <w:rPr>
                <w:rFonts w:cs="Arial"/>
                <w:color w:val="000000"/>
                <w:lang w:eastAsia="en-GB"/>
              </w:rPr>
              <w:t>≥80</w:t>
            </w:r>
          </w:p>
        </w:tc>
      </w:tr>
      <w:tr w:rsidR="00C75A6B" w:rsidRPr="00842485" w14:paraId="7EDD04D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976D8B9" w14:textId="77777777" w:rsidR="00C75A6B" w:rsidRPr="00842485" w:rsidRDefault="00C75A6B" w:rsidP="00C75A6B">
            <w:pPr>
              <w:pStyle w:val="Tabletext"/>
              <w:spacing w:before="40" w:after="40"/>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F64E283" w14:textId="77777777" w:rsidR="00C75A6B" w:rsidRPr="00842485" w:rsidRDefault="00C75A6B" w:rsidP="00C75A6B">
            <w:pPr>
              <w:pStyle w:val="Tabletext"/>
              <w:spacing w:before="40" w:after="40"/>
            </w:pPr>
          </w:p>
        </w:tc>
        <w:tc>
          <w:tcPr>
            <w:tcW w:w="622" w:type="dxa"/>
            <w:tcBorders>
              <w:top w:val="nil"/>
              <w:left w:val="nil"/>
              <w:bottom w:val="single" w:sz="4" w:space="0" w:color="auto"/>
              <w:right w:val="single" w:sz="4" w:space="0" w:color="auto"/>
            </w:tcBorders>
            <w:shd w:val="clear" w:color="auto" w:fill="auto"/>
            <w:vAlign w:val="center"/>
            <w:hideMark/>
          </w:tcPr>
          <w:p w14:paraId="4C5282FF" w14:textId="77777777" w:rsidR="00C75A6B" w:rsidRPr="00842485" w:rsidRDefault="00C75A6B" w:rsidP="00C75A6B">
            <w:pPr>
              <w:pStyle w:val="Tabletext"/>
              <w:spacing w:before="40" w:after="40"/>
            </w:pPr>
            <w:r w:rsidRPr="00842485">
              <w:t>3.2.4</w:t>
            </w:r>
          </w:p>
        </w:tc>
        <w:tc>
          <w:tcPr>
            <w:tcW w:w="3438" w:type="dxa"/>
            <w:tcBorders>
              <w:top w:val="nil"/>
              <w:left w:val="nil"/>
              <w:bottom w:val="single" w:sz="4" w:space="0" w:color="auto"/>
              <w:right w:val="single" w:sz="4" w:space="0" w:color="auto"/>
            </w:tcBorders>
            <w:shd w:val="clear" w:color="auto" w:fill="auto"/>
            <w:vAlign w:val="center"/>
            <w:hideMark/>
          </w:tcPr>
          <w:p w14:paraId="14784E73" w14:textId="77777777" w:rsidR="00C75A6B" w:rsidRPr="00842485" w:rsidRDefault="00C75A6B" w:rsidP="00C75A6B">
            <w:pPr>
              <w:pStyle w:val="Tabletext"/>
              <w:spacing w:before="40" w:after="40"/>
            </w:pPr>
            <w:r w:rsidRPr="00842485">
              <w:t>Management performance evaluation</w:t>
            </w:r>
          </w:p>
        </w:tc>
        <w:tc>
          <w:tcPr>
            <w:tcW w:w="1485" w:type="dxa"/>
            <w:tcBorders>
              <w:top w:val="nil"/>
              <w:left w:val="nil"/>
              <w:bottom w:val="single" w:sz="4" w:space="0" w:color="auto"/>
              <w:right w:val="single" w:sz="4" w:space="0" w:color="auto"/>
            </w:tcBorders>
            <w:shd w:val="clear" w:color="auto" w:fill="92D050"/>
          </w:tcPr>
          <w:p w14:paraId="66665523" w14:textId="77777777" w:rsidR="00C75A6B" w:rsidRPr="00842485" w:rsidRDefault="00C75A6B" w:rsidP="00C75A6B">
            <w:pPr>
              <w:pStyle w:val="Tabletext"/>
              <w:spacing w:before="40" w:after="40"/>
              <w:jc w:val="center"/>
            </w:pPr>
            <w:r w:rsidRPr="00842485">
              <w:rPr>
                <w:rFonts w:cs="Arial"/>
                <w:color w:val="000000"/>
                <w:lang w:eastAsia="en-GB"/>
              </w:rPr>
              <w:t>≥80</w:t>
            </w:r>
          </w:p>
        </w:tc>
      </w:tr>
    </w:tbl>
    <w:p w14:paraId="00109ABC" w14:textId="77777777" w:rsidR="003A7013" w:rsidRPr="00842485" w:rsidRDefault="003A7013" w:rsidP="003A7013">
      <w:pPr>
        <w:pStyle w:val="Heading2"/>
        <w:ind w:left="360" w:hanging="360"/>
        <w:rPr>
          <w:lang w:eastAsia="en-GB"/>
        </w:rPr>
      </w:pPr>
    </w:p>
    <w:p w14:paraId="180CC8EF" w14:textId="77777777" w:rsidR="0092235B" w:rsidRPr="00842485" w:rsidRDefault="0092235B" w:rsidP="0092235B"/>
    <w:sectPr w:rsidR="0092235B" w:rsidRPr="00842485" w:rsidSect="0092235B">
      <w:pgSz w:w="11899" w:h="16838"/>
      <w:pgMar w:top="1848" w:right="425" w:bottom="709" w:left="1846" w:header="567" w:footer="31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4D45" w14:textId="77777777" w:rsidR="00757890" w:rsidRDefault="00757890" w:rsidP="00E35F33">
      <w:r>
        <w:separator/>
      </w:r>
    </w:p>
  </w:endnote>
  <w:endnote w:type="continuationSeparator" w:id="0">
    <w:p w14:paraId="4E3DF975" w14:textId="77777777" w:rsidR="00757890" w:rsidRDefault="00757890" w:rsidP="00E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A35A" w14:textId="07A57FD5" w:rsidR="00757890" w:rsidRDefault="00757890">
    <w:pPr>
      <w:pStyle w:val="Footer"/>
    </w:pPr>
    <w:r>
      <w:t xml:space="preserve">Page </w:t>
    </w:r>
    <w:r>
      <w:rPr>
        <w:b/>
        <w:bCs/>
      </w:rPr>
      <w:fldChar w:fldCharType="begin"/>
    </w:r>
    <w:r>
      <w:rPr>
        <w:b/>
        <w:bCs/>
      </w:rPr>
      <w:instrText xml:space="preserve"> PAGE  \* Arabic  \* MERGEFORMAT </w:instrText>
    </w:r>
    <w:r>
      <w:rPr>
        <w:b/>
        <w:bCs/>
      </w:rPr>
      <w:fldChar w:fldCharType="separate"/>
    </w:r>
    <w:r w:rsidR="00597CEC">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CEC">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CC5B" w14:textId="77777777" w:rsidR="00757890" w:rsidRDefault="00757890" w:rsidP="00E35F33">
      <w:r>
        <w:separator/>
      </w:r>
    </w:p>
  </w:footnote>
  <w:footnote w:type="continuationSeparator" w:id="0">
    <w:p w14:paraId="6A8FD0F2" w14:textId="77777777" w:rsidR="00757890" w:rsidRDefault="00757890" w:rsidP="00E3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041C" w14:textId="77777777" w:rsidR="00757890" w:rsidRPr="002E3AD3" w:rsidRDefault="00757890" w:rsidP="003C7BC7">
    <w:pPr>
      <w:rPr>
        <w:rFonts w:ascii="Arial" w:hAnsi="Arial"/>
        <w:color w:val="4C4C4C"/>
        <w:sz w:val="50"/>
        <w:szCs w:val="40"/>
      </w:rPr>
    </w:pPr>
    <w:r>
      <w:rPr>
        <w:noProof/>
        <w:lang w:eastAsia="en-GB"/>
      </w:rPr>
      <w:drawing>
        <wp:anchor distT="0" distB="0" distL="114300" distR="114300" simplePos="0" relativeHeight="251658240" behindDoc="1" locked="0" layoutInCell="1" allowOverlap="1" wp14:anchorId="59DF4F02" wp14:editId="66E6E601">
          <wp:simplePos x="0" y="0"/>
          <wp:positionH relativeFrom="column">
            <wp:posOffset>-6350</wp:posOffset>
          </wp:positionH>
          <wp:positionV relativeFrom="paragraph">
            <wp:posOffset>-55880</wp:posOffset>
          </wp:positionV>
          <wp:extent cx="7848600" cy="5715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43129A44" wp14:editId="3BB4FDBE">
          <wp:simplePos x="0" y="0"/>
          <wp:positionH relativeFrom="column">
            <wp:posOffset>8337550</wp:posOffset>
          </wp:positionH>
          <wp:positionV relativeFrom="paragraph">
            <wp:posOffset>-68580</wp:posOffset>
          </wp:positionV>
          <wp:extent cx="1485900" cy="571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3EB07705" w14:textId="77777777" w:rsidR="00757890" w:rsidRDefault="00757890" w:rsidP="003C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8A90A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702EDE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0A2544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DD64F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26406"/>
    <w:multiLevelType w:val="hybridMultilevel"/>
    <w:tmpl w:val="3C2CC418"/>
    <w:lvl w:ilvl="0" w:tplc="7DF6A5F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6"/>
  </w:num>
  <w:num w:numId="4">
    <w:abstractNumId w:val="17"/>
  </w:num>
  <w:num w:numId="5">
    <w:abstractNumId w:val="13"/>
  </w:num>
  <w:num w:numId="6">
    <w:abstractNumId w:val="25"/>
  </w:num>
  <w:num w:numId="7">
    <w:abstractNumId w:val="28"/>
  </w:num>
  <w:num w:numId="8">
    <w:abstractNumId w:val="6"/>
  </w:num>
  <w:num w:numId="9">
    <w:abstractNumId w:val="12"/>
  </w:num>
  <w:num w:numId="10">
    <w:abstractNumId w:val="23"/>
  </w:num>
  <w:num w:numId="11">
    <w:abstractNumId w:val="9"/>
  </w:num>
  <w:num w:numId="12">
    <w:abstractNumId w:val="19"/>
  </w:num>
  <w:num w:numId="13">
    <w:abstractNumId w:val="16"/>
  </w:num>
  <w:num w:numId="14">
    <w:abstractNumId w:val="21"/>
  </w:num>
  <w:num w:numId="15">
    <w:abstractNumId w:val="27"/>
  </w:num>
  <w:num w:numId="16">
    <w:abstractNumId w:val="10"/>
  </w:num>
  <w:num w:numId="17">
    <w:abstractNumId w:val="18"/>
  </w:num>
  <w:num w:numId="18">
    <w:abstractNumId w:val="14"/>
  </w:num>
  <w:num w:numId="19">
    <w:abstractNumId w:val="11"/>
  </w:num>
  <w:num w:numId="20">
    <w:abstractNumId w:val="22"/>
  </w:num>
  <w:num w:numId="21">
    <w:abstractNumId w:val="7"/>
  </w:num>
  <w:num w:numId="22">
    <w:abstractNumId w:val="3"/>
  </w:num>
  <w:num w:numId="23">
    <w:abstractNumId w:val="2"/>
  </w:num>
  <w:num w:numId="24">
    <w:abstractNumId w:val="1"/>
  </w:num>
  <w:num w:numId="25">
    <w:abstractNumId w:val="0"/>
  </w:num>
  <w:num w:numId="26">
    <w:abstractNumId w:val="8"/>
  </w:num>
  <w:num w:numId="27">
    <w:abstractNumId w:val="15"/>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11584"/>
    <w:rsid w:val="00012085"/>
    <w:rsid w:val="0001222D"/>
    <w:rsid w:val="00023B17"/>
    <w:rsid w:val="000469EE"/>
    <w:rsid w:val="00061126"/>
    <w:rsid w:val="000654DD"/>
    <w:rsid w:val="00080E66"/>
    <w:rsid w:val="00093DA7"/>
    <w:rsid w:val="000A70B3"/>
    <w:rsid w:val="000B7E4E"/>
    <w:rsid w:val="000C0ABA"/>
    <w:rsid w:val="000C2896"/>
    <w:rsid w:val="000C2D1B"/>
    <w:rsid w:val="001060D1"/>
    <w:rsid w:val="00113183"/>
    <w:rsid w:val="001336BF"/>
    <w:rsid w:val="00137C90"/>
    <w:rsid w:val="00137D4E"/>
    <w:rsid w:val="00167CDF"/>
    <w:rsid w:val="00182447"/>
    <w:rsid w:val="00184195"/>
    <w:rsid w:val="00197642"/>
    <w:rsid w:val="001A49B6"/>
    <w:rsid w:val="001D0CA6"/>
    <w:rsid w:val="001D335B"/>
    <w:rsid w:val="001E226A"/>
    <w:rsid w:val="001E5320"/>
    <w:rsid w:val="001F29D5"/>
    <w:rsid w:val="001F2CAE"/>
    <w:rsid w:val="00200670"/>
    <w:rsid w:val="00205547"/>
    <w:rsid w:val="00207C53"/>
    <w:rsid w:val="00210A62"/>
    <w:rsid w:val="00225DA4"/>
    <w:rsid w:val="0023197D"/>
    <w:rsid w:val="00243804"/>
    <w:rsid w:val="002442D5"/>
    <w:rsid w:val="0025660E"/>
    <w:rsid w:val="002577B2"/>
    <w:rsid w:val="00271782"/>
    <w:rsid w:val="00272244"/>
    <w:rsid w:val="00285907"/>
    <w:rsid w:val="00286F34"/>
    <w:rsid w:val="00296EE7"/>
    <w:rsid w:val="002A1E14"/>
    <w:rsid w:val="002C3355"/>
    <w:rsid w:val="002D75B1"/>
    <w:rsid w:val="002E3AD3"/>
    <w:rsid w:val="002F0532"/>
    <w:rsid w:val="002F4876"/>
    <w:rsid w:val="00306A60"/>
    <w:rsid w:val="00313E97"/>
    <w:rsid w:val="003457E7"/>
    <w:rsid w:val="00345A53"/>
    <w:rsid w:val="0035214B"/>
    <w:rsid w:val="00352E02"/>
    <w:rsid w:val="00386279"/>
    <w:rsid w:val="003914E4"/>
    <w:rsid w:val="003A7013"/>
    <w:rsid w:val="003C5FB9"/>
    <w:rsid w:val="003C7BC7"/>
    <w:rsid w:val="003D0913"/>
    <w:rsid w:val="003E5E0F"/>
    <w:rsid w:val="003F32D6"/>
    <w:rsid w:val="003F4E0D"/>
    <w:rsid w:val="003F64AB"/>
    <w:rsid w:val="004013EA"/>
    <w:rsid w:val="00410074"/>
    <w:rsid w:val="004225F9"/>
    <w:rsid w:val="00435B41"/>
    <w:rsid w:val="00443BE0"/>
    <w:rsid w:val="0046231A"/>
    <w:rsid w:val="00470C7B"/>
    <w:rsid w:val="004723E3"/>
    <w:rsid w:val="004729EB"/>
    <w:rsid w:val="00482102"/>
    <w:rsid w:val="004827A5"/>
    <w:rsid w:val="004B12D6"/>
    <w:rsid w:val="004B1DE7"/>
    <w:rsid w:val="004B439D"/>
    <w:rsid w:val="004B6EE4"/>
    <w:rsid w:val="004B7716"/>
    <w:rsid w:val="004E5F37"/>
    <w:rsid w:val="004F233E"/>
    <w:rsid w:val="004F7AA2"/>
    <w:rsid w:val="00505695"/>
    <w:rsid w:val="00515CC9"/>
    <w:rsid w:val="00517CB1"/>
    <w:rsid w:val="005200E2"/>
    <w:rsid w:val="005243C3"/>
    <w:rsid w:val="00540A1D"/>
    <w:rsid w:val="00545F18"/>
    <w:rsid w:val="00550465"/>
    <w:rsid w:val="0055744B"/>
    <w:rsid w:val="00557B80"/>
    <w:rsid w:val="00577806"/>
    <w:rsid w:val="00585097"/>
    <w:rsid w:val="0058631F"/>
    <w:rsid w:val="00593B11"/>
    <w:rsid w:val="0059581D"/>
    <w:rsid w:val="00596D23"/>
    <w:rsid w:val="00597CEC"/>
    <w:rsid w:val="005C0AA8"/>
    <w:rsid w:val="005C4205"/>
    <w:rsid w:val="005C7AB4"/>
    <w:rsid w:val="005D5EF8"/>
    <w:rsid w:val="005E07D9"/>
    <w:rsid w:val="005F44B6"/>
    <w:rsid w:val="0060120E"/>
    <w:rsid w:val="00653DA6"/>
    <w:rsid w:val="00662F4B"/>
    <w:rsid w:val="006935E0"/>
    <w:rsid w:val="006C1B8B"/>
    <w:rsid w:val="006D1435"/>
    <w:rsid w:val="006D73D9"/>
    <w:rsid w:val="00722C74"/>
    <w:rsid w:val="00723E32"/>
    <w:rsid w:val="007275B8"/>
    <w:rsid w:val="00745463"/>
    <w:rsid w:val="007556C1"/>
    <w:rsid w:val="00757890"/>
    <w:rsid w:val="00772691"/>
    <w:rsid w:val="00783B2C"/>
    <w:rsid w:val="00785A23"/>
    <w:rsid w:val="00787F64"/>
    <w:rsid w:val="007A68FF"/>
    <w:rsid w:val="007B123E"/>
    <w:rsid w:val="007C6177"/>
    <w:rsid w:val="007D4F2B"/>
    <w:rsid w:val="007E0B02"/>
    <w:rsid w:val="007E61FF"/>
    <w:rsid w:val="00800129"/>
    <w:rsid w:val="00801A80"/>
    <w:rsid w:val="00820A84"/>
    <w:rsid w:val="00830DD0"/>
    <w:rsid w:val="00832043"/>
    <w:rsid w:val="00833827"/>
    <w:rsid w:val="00842485"/>
    <w:rsid w:val="0084508F"/>
    <w:rsid w:val="00875BB0"/>
    <w:rsid w:val="00877B29"/>
    <w:rsid w:val="0088297D"/>
    <w:rsid w:val="00885C21"/>
    <w:rsid w:val="008B09A4"/>
    <w:rsid w:val="008B56A5"/>
    <w:rsid w:val="008F402D"/>
    <w:rsid w:val="008F5F1A"/>
    <w:rsid w:val="00907420"/>
    <w:rsid w:val="009122A7"/>
    <w:rsid w:val="0092235B"/>
    <w:rsid w:val="009522F9"/>
    <w:rsid w:val="009B2029"/>
    <w:rsid w:val="009B31D3"/>
    <w:rsid w:val="009B5D40"/>
    <w:rsid w:val="009B5E8E"/>
    <w:rsid w:val="009D377E"/>
    <w:rsid w:val="009E2C4D"/>
    <w:rsid w:val="009E4B3F"/>
    <w:rsid w:val="00A2204C"/>
    <w:rsid w:val="00A24953"/>
    <w:rsid w:val="00A30FFD"/>
    <w:rsid w:val="00A311BC"/>
    <w:rsid w:val="00A33476"/>
    <w:rsid w:val="00A37198"/>
    <w:rsid w:val="00A42435"/>
    <w:rsid w:val="00A42558"/>
    <w:rsid w:val="00A44291"/>
    <w:rsid w:val="00A45C12"/>
    <w:rsid w:val="00A6063F"/>
    <w:rsid w:val="00A64E0F"/>
    <w:rsid w:val="00A659E0"/>
    <w:rsid w:val="00A90406"/>
    <w:rsid w:val="00A96DB8"/>
    <w:rsid w:val="00A97C91"/>
    <w:rsid w:val="00AA31CB"/>
    <w:rsid w:val="00AA33C0"/>
    <w:rsid w:val="00AB7140"/>
    <w:rsid w:val="00AE03E5"/>
    <w:rsid w:val="00AE4A8B"/>
    <w:rsid w:val="00AE6A6F"/>
    <w:rsid w:val="00B02376"/>
    <w:rsid w:val="00B177D9"/>
    <w:rsid w:val="00B217FA"/>
    <w:rsid w:val="00B33EDC"/>
    <w:rsid w:val="00B638C0"/>
    <w:rsid w:val="00B6435D"/>
    <w:rsid w:val="00BB5E95"/>
    <w:rsid w:val="00BC38CB"/>
    <w:rsid w:val="00BC75AF"/>
    <w:rsid w:val="00BD3093"/>
    <w:rsid w:val="00BE016B"/>
    <w:rsid w:val="00C10302"/>
    <w:rsid w:val="00C16248"/>
    <w:rsid w:val="00C16764"/>
    <w:rsid w:val="00C16CA1"/>
    <w:rsid w:val="00C433B4"/>
    <w:rsid w:val="00C512BB"/>
    <w:rsid w:val="00C5785D"/>
    <w:rsid w:val="00C64725"/>
    <w:rsid w:val="00C67E16"/>
    <w:rsid w:val="00C75337"/>
    <w:rsid w:val="00C75A6B"/>
    <w:rsid w:val="00C81114"/>
    <w:rsid w:val="00C95F35"/>
    <w:rsid w:val="00CA6576"/>
    <w:rsid w:val="00CC0F58"/>
    <w:rsid w:val="00CF2C4A"/>
    <w:rsid w:val="00D00FA3"/>
    <w:rsid w:val="00D2275B"/>
    <w:rsid w:val="00D33424"/>
    <w:rsid w:val="00D61064"/>
    <w:rsid w:val="00D76E8E"/>
    <w:rsid w:val="00D92AD9"/>
    <w:rsid w:val="00DB0465"/>
    <w:rsid w:val="00DB4EFE"/>
    <w:rsid w:val="00DC23EC"/>
    <w:rsid w:val="00DC6E49"/>
    <w:rsid w:val="00DD2E0B"/>
    <w:rsid w:val="00DF1693"/>
    <w:rsid w:val="00DF1812"/>
    <w:rsid w:val="00DF7A06"/>
    <w:rsid w:val="00DF7BB0"/>
    <w:rsid w:val="00E017DE"/>
    <w:rsid w:val="00E10722"/>
    <w:rsid w:val="00E148E6"/>
    <w:rsid w:val="00E213AC"/>
    <w:rsid w:val="00E23599"/>
    <w:rsid w:val="00E245F4"/>
    <w:rsid w:val="00E31398"/>
    <w:rsid w:val="00E32812"/>
    <w:rsid w:val="00E35F33"/>
    <w:rsid w:val="00E43C2E"/>
    <w:rsid w:val="00E471B1"/>
    <w:rsid w:val="00E67F6F"/>
    <w:rsid w:val="00E744D6"/>
    <w:rsid w:val="00E8656F"/>
    <w:rsid w:val="00E86B4A"/>
    <w:rsid w:val="00EA03CA"/>
    <w:rsid w:val="00EC1317"/>
    <w:rsid w:val="00EC69F3"/>
    <w:rsid w:val="00EE1E4F"/>
    <w:rsid w:val="00F01C49"/>
    <w:rsid w:val="00F01E7A"/>
    <w:rsid w:val="00F031BF"/>
    <w:rsid w:val="00F11E74"/>
    <w:rsid w:val="00F15E88"/>
    <w:rsid w:val="00F33702"/>
    <w:rsid w:val="00F35554"/>
    <w:rsid w:val="00F634C2"/>
    <w:rsid w:val="00F65957"/>
    <w:rsid w:val="00F70DCA"/>
    <w:rsid w:val="00F82B23"/>
    <w:rsid w:val="00F85068"/>
    <w:rsid w:val="00F92401"/>
    <w:rsid w:val="00FB585F"/>
    <w:rsid w:val="00FB6E0B"/>
    <w:rsid w:val="00FD5234"/>
    <w:rsid w:val="00FD72EF"/>
    <w:rsid w:val="00FE7426"/>
    <w:rsid w:val="00FF33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99FDF14"/>
  <w15:chartTrackingRefBased/>
  <w15:docId w15:val="{09CE93E3-EC35-484B-ABC2-4FC89E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semiHidden/>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410074"/>
    <w:pPr>
      <w:numPr>
        <w:numId w:val="29"/>
      </w:numPr>
      <w:spacing w:before="40" w:after="40"/>
      <w:ind w:left="357" w:hanging="357"/>
    </w:pPr>
    <w:rPr>
      <w:rFonts w:ascii="Arial" w:hAnsi="Arial"/>
      <w:b/>
      <w:bCs/>
      <w:color w:val="4C4C4C"/>
      <w:sz w:val="20"/>
      <w:szCs w:val="20"/>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21"/>
      </w:numPr>
      <w:tabs>
        <w:tab w:val="clear" w:pos="350"/>
        <w:tab w:val="num" w:pos="170"/>
      </w:tabs>
      <w:spacing w:before="0"/>
      <w:ind w:left="170"/>
    </w:pPr>
  </w:style>
  <w:style w:type="character" w:styleId="PageNumber">
    <w:name w:val="page number"/>
    <w:basedOn w:val="DefaultParagraphFont"/>
    <w:rsid w:val="00596D23"/>
  </w:style>
  <w:style w:type="paragraph" w:styleId="Caption">
    <w:name w:val="caption"/>
    <w:basedOn w:val="Normal"/>
    <w:next w:val="Normal"/>
    <w:rsid w:val="0092235B"/>
    <w:rPr>
      <w:b/>
      <w:bCs/>
      <w:sz w:val="20"/>
      <w:szCs w:val="20"/>
    </w:rPr>
  </w:style>
  <w:style w:type="paragraph" w:customStyle="1" w:styleId="Tableheader">
    <w:name w:val="Table header"/>
    <w:basedOn w:val="Normal"/>
    <w:qFormat/>
    <w:rsid w:val="0092235B"/>
    <w:pPr>
      <w:spacing w:before="0" w:after="120"/>
      <w:jc w:val="both"/>
    </w:pPr>
    <w:rPr>
      <w:rFonts w:eastAsia="Times New Roman"/>
      <w:b/>
      <w:sz w:val="20"/>
      <w:szCs w:val="24"/>
    </w:rPr>
  </w:style>
  <w:style w:type="paragraph" w:customStyle="1" w:styleId="Tabletext">
    <w:name w:val="Table text"/>
    <w:basedOn w:val="Normal"/>
    <w:qFormat/>
    <w:rsid w:val="0092235B"/>
    <w:pPr>
      <w:spacing w:before="0" w:after="120"/>
      <w:jc w:val="both"/>
    </w:pPr>
    <w:rPr>
      <w:rFonts w:eastAsia="Times New Roman"/>
      <w:sz w:val="20"/>
    </w:rPr>
  </w:style>
  <w:style w:type="character" w:styleId="CommentReference">
    <w:name w:val="annotation reference"/>
    <w:basedOn w:val="DefaultParagraphFont"/>
    <w:rsid w:val="003F32D6"/>
    <w:rPr>
      <w:sz w:val="16"/>
      <w:szCs w:val="16"/>
    </w:rPr>
  </w:style>
  <w:style w:type="paragraph" w:styleId="CommentText">
    <w:name w:val="annotation text"/>
    <w:basedOn w:val="Normal"/>
    <w:link w:val="CommentTextChar"/>
    <w:rsid w:val="003F32D6"/>
    <w:rPr>
      <w:sz w:val="20"/>
      <w:szCs w:val="20"/>
    </w:rPr>
  </w:style>
  <w:style w:type="character" w:customStyle="1" w:styleId="CommentTextChar">
    <w:name w:val="Comment Text Char"/>
    <w:basedOn w:val="DefaultParagraphFont"/>
    <w:link w:val="CommentText"/>
    <w:rsid w:val="003F32D6"/>
    <w:rPr>
      <w:rFonts w:ascii="Calibri" w:eastAsia="Calibri" w:hAnsi="Calibri"/>
      <w:lang w:eastAsia="en-US"/>
    </w:rPr>
  </w:style>
  <w:style w:type="paragraph" w:styleId="CommentSubject">
    <w:name w:val="annotation subject"/>
    <w:basedOn w:val="CommentText"/>
    <w:next w:val="CommentText"/>
    <w:link w:val="CommentSubjectChar"/>
    <w:rsid w:val="003F32D6"/>
    <w:rPr>
      <w:b/>
      <w:bCs/>
    </w:rPr>
  </w:style>
  <w:style w:type="character" w:customStyle="1" w:styleId="CommentSubjectChar">
    <w:name w:val="Comment Subject Char"/>
    <w:basedOn w:val="CommentTextChar"/>
    <w:link w:val="CommentSubject"/>
    <w:rsid w:val="003F32D6"/>
    <w:rPr>
      <w:rFonts w:ascii="Calibri" w:eastAsia="Calibri" w:hAnsi="Calibri"/>
      <w:b/>
      <w:bCs/>
      <w:lang w:eastAsia="en-US"/>
    </w:rPr>
  </w:style>
  <w:style w:type="paragraph" w:styleId="Revision">
    <w:name w:val="Revision"/>
    <w:hidden/>
    <w:rsid w:val="00410074"/>
    <w:rPr>
      <w:rFonts w:ascii="Calibri" w:eastAsia="Calibri" w:hAnsi="Calibri"/>
      <w:sz w:val="22"/>
      <w:szCs w:val="22"/>
      <w:lang w:eastAsia="en-US"/>
    </w:rPr>
  </w:style>
  <w:style w:type="table" w:styleId="TableGrid">
    <w:name w:val="Table Grid"/>
    <w:basedOn w:val="TableNormal"/>
    <w:rsid w:val="004F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35F52-E77B-42B5-AE9E-6079CEF17685}">
  <ds:schemaRefs>
    <ds:schemaRef ds:uri="http://purl.org/dc/dcmitype/"/>
    <ds:schemaRef ds:uri="230c30b3-5bf2-4424-b964-6b55c85701d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90FB37-29B9-4FB9-A7E2-297D637A9459}"/>
</file>

<file path=customXml/itemProps3.xml><?xml version="1.0" encoding="utf-8"?>
<ds:datastoreItem xmlns:ds="http://schemas.openxmlformats.org/officeDocument/2006/customXml" ds:itemID="{601C161D-99BD-451E-AF87-D41998AF9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Double click here to insert document title  – date</vt:lpstr>
    </vt:vector>
  </TitlesOfParts>
  <Company>Acoura / Poseidon</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crab__lobster_joint_actionplan_v3_dec17.docx </dc:title>
  <dc:subject>Fisheries Actio Plan</dc:subject>
  <dc:creator>Tim Huntington</dc:creator>
  <cp:keywords/>
  <cp:lastModifiedBy>Chloe North</cp:lastModifiedBy>
  <cp:revision>2</cp:revision>
  <cp:lastPrinted>2017-12-01T17:57:00Z</cp:lastPrinted>
  <dcterms:created xsi:type="dcterms:W3CDTF">2017-12-21T10:26:00Z</dcterms:created>
  <dcterms:modified xsi:type="dcterms:W3CDTF">2017-12-21T10:26:00Z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ies>
</file>