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F5C691" w14:textId="080D54BB" w:rsidR="00D17BE1" w:rsidRDefault="00D17BE1" w:rsidP="00D17BE1">
      <w:pPr>
        <w:pStyle w:val="ListBullet"/>
      </w:pPr>
      <w:bookmarkStart w:id="0" w:name="_GoBack"/>
      <w:bookmarkEnd w:id="0"/>
    </w:p>
    <w:p w14:paraId="02785192" w14:textId="2EB542C6" w:rsidR="006816A8" w:rsidRDefault="006816A8" w:rsidP="00D17BE1">
      <w:pPr>
        <w:pStyle w:val="ListBullet"/>
      </w:pPr>
    </w:p>
    <w:p w14:paraId="7ACF8370" w14:textId="77777777" w:rsidR="006816A8" w:rsidRPr="005C0C94" w:rsidRDefault="006816A8" w:rsidP="00D17BE1">
      <w:pPr>
        <w:pStyle w:val="ListBullet"/>
      </w:pPr>
    </w:p>
    <w:p w14:paraId="11611603" w14:textId="77777777" w:rsidR="00382EB0" w:rsidRDefault="00382EB0" w:rsidP="00CE0EDB">
      <w:pPr>
        <w:autoSpaceDE w:val="0"/>
        <w:autoSpaceDN w:val="0"/>
        <w:adjustRightInd w:val="0"/>
        <w:spacing w:line="360" w:lineRule="auto"/>
        <w:jc w:val="center"/>
        <w:rPr>
          <w:rFonts w:cs="Arial"/>
          <w:b/>
          <w:color w:val="31849B"/>
          <w:sz w:val="40"/>
          <w:szCs w:val="40"/>
        </w:rPr>
      </w:pPr>
      <w:r w:rsidRPr="005C0C94">
        <w:rPr>
          <w:rFonts w:cs="Arial"/>
          <w:b/>
          <w:color w:val="31849B"/>
          <w:sz w:val="40"/>
          <w:szCs w:val="40"/>
        </w:rPr>
        <w:t xml:space="preserve">MSC Pre-Assessment for </w:t>
      </w:r>
    </w:p>
    <w:p w14:paraId="5496337A" w14:textId="68DB9788" w:rsidR="00CE0EDB" w:rsidRPr="005C0C94" w:rsidRDefault="00A36267" w:rsidP="00CE0EDB">
      <w:pPr>
        <w:autoSpaceDE w:val="0"/>
        <w:autoSpaceDN w:val="0"/>
        <w:adjustRightInd w:val="0"/>
        <w:spacing w:line="360" w:lineRule="auto"/>
        <w:jc w:val="center"/>
        <w:rPr>
          <w:rFonts w:cs="Arial"/>
          <w:b/>
          <w:color w:val="31849B"/>
          <w:sz w:val="40"/>
          <w:szCs w:val="40"/>
        </w:rPr>
      </w:pPr>
      <w:r>
        <w:rPr>
          <w:rFonts w:cs="Arial"/>
          <w:b/>
          <w:color w:val="31849B"/>
          <w:sz w:val="40"/>
          <w:szCs w:val="40"/>
        </w:rPr>
        <w:t xml:space="preserve">UK </w:t>
      </w:r>
      <w:r w:rsidR="007D595E">
        <w:rPr>
          <w:rFonts w:cs="Arial"/>
          <w:b/>
          <w:color w:val="31849B"/>
          <w:sz w:val="40"/>
          <w:szCs w:val="40"/>
        </w:rPr>
        <w:t xml:space="preserve">Western </w:t>
      </w:r>
      <w:r w:rsidR="00A44E4C">
        <w:rPr>
          <w:rFonts w:cs="Arial"/>
          <w:b/>
          <w:color w:val="31849B"/>
          <w:sz w:val="40"/>
          <w:szCs w:val="40"/>
        </w:rPr>
        <w:t>C</w:t>
      </w:r>
      <w:r w:rsidR="007D595E">
        <w:rPr>
          <w:rFonts w:cs="Arial"/>
          <w:b/>
          <w:color w:val="31849B"/>
          <w:sz w:val="40"/>
          <w:szCs w:val="40"/>
        </w:rPr>
        <w:t xml:space="preserve">hannel </w:t>
      </w:r>
      <w:r>
        <w:rPr>
          <w:rFonts w:cs="Arial"/>
          <w:b/>
          <w:color w:val="31849B"/>
          <w:sz w:val="40"/>
          <w:szCs w:val="40"/>
        </w:rPr>
        <w:t xml:space="preserve">and Celtic Sea </w:t>
      </w:r>
      <w:r w:rsidR="007D595E">
        <w:rPr>
          <w:rFonts w:cs="Arial"/>
          <w:b/>
          <w:color w:val="31849B"/>
          <w:sz w:val="40"/>
          <w:szCs w:val="40"/>
        </w:rPr>
        <w:t xml:space="preserve">edible crab </w:t>
      </w:r>
      <w:r w:rsidR="00382EB0" w:rsidRPr="005C0C94">
        <w:rPr>
          <w:rFonts w:cs="Arial"/>
          <w:b/>
          <w:color w:val="31849B"/>
          <w:sz w:val="40"/>
          <w:szCs w:val="40"/>
        </w:rPr>
        <w:t>fishery</w:t>
      </w:r>
    </w:p>
    <w:p w14:paraId="2141A69D" w14:textId="53BFB239" w:rsidR="00CE0EDB" w:rsidRDefault="00CE0EDB" w:rsidP="00CE0EDB">
      <w:pPr>
        <w:autoSpaceDE w:val="0"/>
        <w:autoSpaceDN w:val="0"/>
        <w:adjustRightInd w:val="0"/>
        <w:spacing w:line="360" w:lineRule="auto"/>
        <w:rPr>
          <w:rFonts w:cs="Arial"/>
          <w:color w:val="002060"/>
        </w:rPr>
      </w:pPr>
    </w:p>
    <w:p w14:paraId="7C251942" w14:textId="10329212" w:rsidR="006816A8" w:rsidRDefault="006816A8" w:rsidP="00CE0EDB">
      <w:pPr>
        <w:autoSpaceDE w:val="0"/>
        <w:autoSpaceDN w:val="0"/>
        <w:adjustRightInd w:val="0"/>
        <w:spacing w:line="360" w:lineRule="auto"/>
        <w:rPr>
          <w:rFonts w:cs="Arial"/>
          <w:color w:val="002060"/>
        </w:rPr>
      </w:pPr>
    </w:p>
    <w:p w14:paraId="7F1A79C1" w14:textId="35BDCA50" w:rsidR="006816A8" w:rsidRDefault="006816A8" w:rsidP="00CE0EDB">
      <w:pPr>
        <w:autoSpaceDE w:val="0"/>
        <w:autoSpaceDN w:val="0"/>
        <w:adjustRightInd w:val="0"/>
        <w:spacing w:line="360" w:lineRule="auto"/>
        <w:rPr>
          <w:rFonts w:cs="Arial"/>
          <w:color w:val="002060"/>
        </w:rPr>
      </w:pPr>
    </w:p>
    <w:p w14:paraId="4D0739CD" w14:textId="2941460A" w:rsidR="006816A8" w:rsidRDefault="006816A8" w:rsidP="00CE0EDB">
      <w:pPr>
        <w:autoSpaceDE w:val="0"/>
        <w:autoSpaceDN w:val="0"/>
        <w:adjustRightInd w:val="0"/>
        <w:spacing w:line="360" w:lineRule="auto"/>
        <w:rPr>
          <w:rFonts w:cs="Arial"/>
          <w:color w:val="002060"/>
        </w:rPr>
      </w:pPr>
    </w:p>
    <w:p w14:paraId="4828BBEF" w14:textId="46D3F19B" w:rsidR="006816A8" w:rsidRDefault="006816A8" w:rsidP="00CE0EDB">
      <w:pPr>
        <w:autoSpaceDE w:val="0"/>
        <w:autoSpaceDN w:val="0"/>
        <w:adjustRightInd w:val="0"/>
        <w:spacing w:line="360" w:lineRule="auto"/>
        <w:rPr>
          <w:rFonts w:cs="Arial"/>
          <w:color w:val="002060"/>
        </w:rPr>
      </w:pPr>
    </w:p>
    <w:p w14:paraId="4BE89934" w14:textId="6B987A69" w:rsidR="006816A8" w:rsidRDefault="006816A8" w:rsidP="00CE0EDB">
      <w:pPr>
        <w:autoSpaceDE w:val="0"/>
        <w:autoSpaceDN w:val="0"/>
        <w:adjustRightInd w:val="0"/>
        <w:spacing w:line="360" w:lineRule="auto"/>
        <w:rPr>
          <w:rFonts w:cs="Arial"/>
          <w:color w:val="002060"/>
        </w:rPr>
      </w:pPr>
    </w:p>
    <w:p w14:paraId="539D0D12" w14:textId="00807923" w:rsidR="006816A8" w:rsidRDefault="006816A8" w:rsidP="00CE0EDB">
      <w:pPr>
        <w:autoSpaceDE w:val="0"/>
        <w:autoSpaceDN w:val="0"/>
        <w:adjustRightInd w:val="0"/>
        <w:spacing w:line="360" w:lineRule="auto"/>
        <w:rPr>
          <w:rFonts w:cs="Arial"/>
          <w:color w:val="002060"/>
        </w:rPr>
      </w:pPr>
    </w:p>
    <w:p w14:paraId="5BB3E145" w14:textId="69D7660D" w:rsidR="006816A8" w:rsidRDefault="006816A8" w:rsidP="00CE0EDB">
      <w:pPr>
        <w:autoSpaceDE w:val="0"/>
        <w:autoSpaceDN w:val="0"/>
        <w:adjustRightInd w:val="0"/>
        <w:spacing w:line="360" w:lineRule="auto"/>
        <w:rPr>
          <w:rFonts w:cs="Arial"/>
          <w:color w:val="002060"/>
        </w:rPr>
      </w:pPr>
    </w:p>
    <w:p w14:paraId="0772FEAE" w14:textId="7ED0C300" w:rsidR="006816A8" w:rsidRDefault="006816A8" w:rsidP="00CE0EDB">
      <w:pPr>
        <w:autoSpaceDE w:val="0"/>
        <w:autoSpaceDN w:val="0"/>
        <w:adjustRightInd w:val="0"/>
        <w:spacing w:line="360" w:lineRule="auto"/>
        <w:rPr>
          <w:rFonts w:cs="Arial"/>
          <w:color w:val="002060"/>
        </w:rPr>
      </w:pPr>
    </w:p>
    <w:p w14:paraId="29D5D9FA" w14:textId="0234994A" w:rsidR="006816A8" w:rsidRDefault="006816A8" w:rsidP="00CE0EDB">
      <w:pPr>
        <w:autoSpaceDE w:val="0"/>
        <w:autoSpaceDN w:val="0"/>
        <w:adjustRightInd w:val="0"/>
        <w:spacing w:line="360" w:lineRule="auto"/>
        <w:rPr>
          <w:rFonts w:cs="Arial"/>
          <w:color w:val="002060"/>
        </w:rPr>
      </w:pPr>
    </w:p>
    <w:p w14:paraId="36E96BA6" w14:textId="77777777" w:rsidR="006816A8" w:rsidRPr="005C0C94" w:rsidRDefault="006816A8" w:rsidP="00CE0EDB">
      <w:pPr>
        <w:autoSpaceDE w:val="0"/>
        <w:autoSpaceDN w:val="0"/>
        <w:adjustRightInd w:val="0"/>
        <w:spacing w:line="360" w:lineRule="auto"/>
        <w:rPr>
          <w:rFonts w:cs="Arial"/>
          <w:color w:val="002060"/>
        </w:rPr>
      </w:pPr>
    </w:p>
    <w:p w14:paraId="498292C8" w14:textId="1DF327F5" w:rsidR="00382EB0" w:rsidRPr="005C0C94" w:rsidRDefault="00382EB0" w:rsidP="00382EB0">
      <w:pPr>
        <w:autoSpaceDE w:val="0"/>
        <w:autoSpaceDN w:val="0"/>
        <w:adjustRightInd w:val="0"/>
        <w:spacing w:line="360" w:lineRule="auto"/>
        <w:jc w:val="center"/>
        <w:rPr>
          <w:rFonts w:cs="Arial"/>
          <w:color w:val="31849B"/>
          <w:sz w:val="48"/>
          <w:szCs w:val="48"/>
        </w:rPr>
      </w:pPr>
      <w:r w:rsidRPr="005C0C94">
        <w:rPr>
          <w:rFonts w:cs="Arial"/>
          <w:b/>
          <w:bCs/>
          <w:color w:val="31849B"/>
          <w:sz w:val="48"/>
          <w:szCs w:val="48"/>
        </w:rPr>
        <w:t xml:space="preserve">Project </w:t>
      </w:r>
      <w:r w:rsidR="00B70F04">
        <w:rPr>
          <w:rFonts w:cs="Arial"/>
          <w:b/>
          <w:bCs/>
          <w:color w:val="31849B"/>
          <w:sz w:val="48"/>
          <w:szCs w:val="48"/>
        </w:rPr>
        <w:t>UK</w:t>
      </w:r>
      <w:r w:rsidR="002A7130">
        <w:rPr>
          <w:rFonts w:cs="Arial"/>
          <w:b/>
          <w:bCs/>
          <w:color w:val="31849B"/>
          <w:sz w:val="48"/>
          <w:szCs w:val="48"/>
        </w:rPr>
        <w:t xml:space="preserve"> Fisheries Improvements</w:t>
      </w:r>
    </w:p>
    <w:p w14:paraId="62452D7E" w14:textId="77777777" w:rsidR="00382EB0" w:rsidRDefault="00382EB0" w:rsidP="00CE0EDB">
      <w:pPr>
        <w:autoSpaceDE w:val="0"/>
        <w:autoSpaceDN w:val="0"/>
        <w:adjustRightInd w:val="0"/>
        <w:spacing w:line="360" w:lineRule="auto"/>
        <w:rPr>
          <w:rFonts w:cs="Arial"/>
          <w:color w:val="002060"/>
        </w:rPr>
      </w:pPr>
    </w:p>
    <w:p w14:paraId="1F80C945" w14:textId="77777777" w:rsidR="008E6A5A" w:rsidRPr="005C0C94" w:rsidRDefault="008E6A5A" w:rsidP="00CE0EDB">
      <w:pPr>
        <w:autoSpaceDE w:val="0"/>
        <w:autoSpaceDN w:val="0"/>
        <w:adjustRightInd w:val="0"/>
        <w:spacing w:line="360" w:lineRule="auto"/>
        <w:rPr>
          <w:rFonts w:cs="Arial"/>
          <w:color w:val="002060"/>
        </w:rPr>
      </w:pPr>
    </w:p>
    <w:p w14:paraId="7D85A832" w14:textId="431A4356" w:rsidR="00CE0EDB" w:rsidRPr="005C0C94" w:rsidRDefault="00CE6A3A" w:rsidP="00CE0EDB">
      <w:pPr>
        <w:autoSpaceDE w:val="0"/>
        <w:autoSpaceDN w:val="0"/>
        <w:adjustRightInd w:val="0"/>
        <w:spacing w:line="360" w:lineRule="auto"/>
        <w:rPr>
          <w:rFonts w:cs="Arial"/>
          <w:color w:val="31849B"/>
          <w:szCs w:val="22"/>
        </w:rPr>
      </w:pPr>
      <w:r>
        <w:rPr>
          <w:rFonts w:cs="Arial"/>
          <w:color w:val="31849B"/>
          <w:szCs w:val="22"/>
        </w:rPr>
        <w:t>December</w:t>
      </w:r>
      <w:r w:rsidRPr="005C0C94">
        <w:rPr>
          <w:rFonts w:cs="Arial"/>
          <w:color w:val="31849B"/>
          <w:szCs w:val="22"/>
        </w:rPr>
        <w:t xml:space="preserve"> </w:t>
      </w:r>
      <w:r w:rsidR="00CE0EDB" w:rsidRPr="005C0C94">
        <w:rPr>
          <w:rFonts w:cs="Arial"/>
          <w:color w:val="31849B"/>
          <w:szCs w:val="22"/>
        </w:rPr>
        <w:t>2016</w:t>
      </w:r>
    </w:p>
    <w:p w14:paraId="0B9294C2" w14:textId="1450AF56" w:rsidR="00D71900" w:rsidRPr="005C0C94" w:rsidRDefault="00CE0EDB" w:rsidP="00D71900">
      <w:pPr>
        <w:autoSpaceDE w:val="0"/>
        <w:autoSpaceDN w:val="0"/>
        <w:adjustRightInd w:val="0"/>
        <w:rPr>
          <w:rFonts w:cs="Arial"/>
          <w:color w:val="31849B"/>
          <w:szCs w:val="22"/>
        </w:rPr>
      </w:pPr>
      <w:r w:rsidRPr="005C0C94">
        <w:rPr>
          <w:rFonts w:cs="Arial"/>
          <w:color w:val="31849B"/>
          <w:szCs w:val="22"/>
        </w:rPr>
        <w:t>Prepa</w:t>
      </w:r>
      <w:r w:rsidR="003F6568">
        <w:rPr>
          <w:rFonts w:cs="Arial"/>
          <w:color w:val="31849B"/>
          <w:szCs w:val="22"/>
        </w:rPr>
        <w:t>red</w:t>
      </w:r>
      <w:r w:rsidRPr="005C0C94">
        <w:rPr>
          <w:rFonts w:cs="Arial"/>
          <w:color w:val="31849B"/>
          <w:szCs w:val="22"/>
        </w:rPr>
        <w:t xml:space="preserve"> For: </w:t>
      </w:r>
      <w:r w:rsidR="00D71900" w:rsidRPr="005C0C94">
        <w:rPr>
          <w:rFonts w:cs="Arial"/>
          <w:color w:val="31849B"/>
          <w:szCs w:val="22"/>
        </w:rPr>
        <w:tab/>
      </w:r>
      <w:r w:rsidRPr="005C0C94">
        <w:rPr>
          <w:rFonts w:cs="Arial"/>
          <w:color w:val="31849B"/>
          <w:szCs w:val="22"/>
        </w:rPr>
        <w:t xml:space="preserve">Project </w:t>
      </w:r>
      <w:r w:rsidR="00094A9C">
        <w:rPr>
          <w:rFonts w:cs="Arial"/>
          <w:color w:val="31849B"/>
          <w:szCs w:val="22"/>
        </w:rPr>
        <w:t>UK</w:t>
      </w:r>
      <w:r w:rsidR="002A7130">
        <w:rPr>
          <w:rFonts w:cs="Arial"/>
          <w:color w:val="31849B"/>
          <w:szCs w:val="22"/>
        </w:rPr>
        <w:t xml:space="preserve"> Fisheries Improvements</w:t>
      </w:r>
      <w:r w:rsidR="00D71900" w:rsidRPr="005C0C94">
        <w:rPr>
          <w:rFonts w:cs="Arial"/>
          <w:color w:val="31849B"/>
          <w:szCs w:val="22"/>
        </w:rPr>
        <w:t>.</w:t>
      </w:r>
    </w:p>
    <w:p w14:paraId="11617D11" w14:textId="42C20D36" w:rsidR="00D71900" w:rsidRPr="00382FA8" w:rsidRDefault="00B70F04" w:rsidP="00D71900">
      <w:pPr>
        <w:autoSpaceDE w:val="0"/>
        <w:autoSpaceDN w:val="0"/>
        <w:adjustRightInd w:val="0"/>
        <w:ind w:left="720" w:firstLine="720"/>
        <w:rPr>
          <w:rFonts w:cs="Arial"/>
          <w:color w:val="31849B"/>
          <w:szCs w:val="22"/>
          <w:lang w:val="es-ES"/>
        </w:rPr>
      </w:pPr>
      <w:r>
        <w:rPr>
          <w:rFonts w:cs="Arial"/>
          <w:color w:val="31849B"/>
          <w:szCs w:val="22"/>
          <w:lang w:val="es-ES"/>
        </w:rPr>
        <w:t xml:space="preserve">Claire Pescod </w:t>
      </w:r>
    </w:p>
    <w:p w14:paraId="6407BD8E" w14:textId="2E3FE257" w:rsidR="00CE0EDB" w:rsidRPr="005C0C94" w:rsidRDefault="00CE0EDB" w:rsidP="00D71900">
      <w:pPr>
        <w:autoSpaceDE w:val="0"/>
        <w:autoSpaceDN w:val="0"/>
        <w:adjustRightInd w:val="0"/>
        <w:spacing w:before="120" w:line="360" w:lineRule="auto"/>
        <w:rPr>
          <w:szCs w:val="22"/>
        </w:rPr>
      </w:pPr>
      <w:r w:rsidRPr="005C0C94">
        <w:rPr>
          <w:rFonts w:cs="Arial"/>
          <w:color w:val="31849B"/>
          <w:szCs w:val="22"/>
        </w:rPr>
        <w:t>Prepa</w:t>
      </w:r>
      <w:r w:rsidR="003F6568">
        <w:rPr>
          <w:rFonts w:cs="Arial"/>
          <w:color w:val="31849B"/>
          <w:szCs w:val="22"/>
        </w:rPr>
        <w:t>red</w:t>
      </w:r>
      <w:r w:rsidRPr="005C0C94">
        <w:rPr>
          <w:rFonts w:cs="Arial"/>
          <w:color w:val="31849B"/>
          <w:szCs w:val="22"/>
        </w:rPr>
        <w:t xml:space="preserve"> By:</w:t>
      </w:r>
      <w:r w:rsidR="00D71900" w:rsidRPr="005C0C94">
        <w:rPr>
          <w:rFonts w:cs="Arial"/>
          <w:color w:val="31849B"/>
          <w:szCs w:val="22"/>
        </w:rPr>
        <w:tab/>
      </w:r>
      <w:r w:rsidR="003A74F3">
        <w:rPr>
          <w:rFonts w:cs="Arial"/>
          <w:color w:val="31849B"/>
          <w:szCs w:val="22"/>
        </w:rPr>
        <w:t>Crick Carleton</w:t>
      </w:r>
    </w:p>
    <w:p w14:paraId="17FFDC43" w14:textId="77777777" w:rsidR="00D17BE1" w:rsidRPr="005C0C94" w:rsidRDefault="00D17BE1" w:rsidP="00D17BE1">
      <w:pPr>
        <w:pStyle w:val="ListBullet"/>
        <w:sectPr w:rsidR="00D17BE1" w:rsidRPr="005C0C94" w:rsidSect="00A123D1">
          <w:headerReference w:type="default" r:id="rId12"/>
          <w:footerReference w:type="even" r:id="rId13"/>
          <w:footerReference w:type="default" r:id="rId14"/>
          <w:pgSz w:w="11906" w:h="16838"/>
          <w:pgMar w:top="1440" w:right="1440" w:bottom="1440" w:left="1440" w:header="708" w:footer="708" w:gutter="0"/>
          <w:pgNumType w:start="1"/>
          <w:cols w:space="708"/>
          <w:docGrid w:linePitch="360"/>
        </w:sectPr>
      </w:pPr>
    </w:p>
    <w:p w14:paraId="4DB1AA7D" w14:textId="77777777" w:rsidR="00A123D1" w:rsidRPr="005C0C94" w:rsidRDefault="00A123D1" w:rsidP="0094023F">
      <w:pPr>
        <w:pStyle w:val="Non-indexedHeading"/>
      </w:pPr>
      <w:bookmarkStart w:id="1" w:name="_Toc292723251"/>
      <w:bookmarkStart w:id="2" w:name="_Toc372551809"/>
      <w:bookmarkStart w:id="3" w:name="_Toc469259563"/>
      <w:r w:rsidRPr="005C0C94">
        <w:lastRenderedPageBreak/>
        <w:t>Contents</w:t>
      </w:r>
      <w:bookmarkEnd w:id="1"/>
      <w:bookmarkEnd w:id="2"/>
      <w:bookmarkEnd w:id="3"/>
    </w:p>
    <w:p w14:paraId="5F2FAFD9" w14:textId="77777777" w:rsidR="003A74F3" w:rsidRDefault="00D71900">
      <w:pPr>
        <w:pStyle w:val="TOC1"/>
        <w:tabs>
          <w:tab w:val="right" w:leader="dot" w:pos="9016"/>
        </w:tabs>
        <w:rPr>
          <w:rFonts w:asciiTheme="minorHAnsi" w:eastAsiaTheme="minorEastAsia" w:hAnsiTheme="minorHAnsi" w:cstheme="minorBidi"/>
          <w:noProof/>
          <w:szCs w:val="22"/>
          <w:lang w:eastAsia="en-GB"/>
        </w:rPr>
      </w:pPr>
      <w:r w:rsidRPr="005C0C94">
        <w:fldChar w:fldCharType="begin"/>
      </w:r>
      <w:r w:rsidRPr="005C0C94">
        <w:instrText xml:space="preserve"> TOC \o "1-3" </w:instrText>
      </w:r>
      <w:r w:rsidRPr="005C0C94">
        <w:fldChar w:fldCharType="separate"/>
      </w:r>
      <w:r w:rsidR="003A74F3">
        <w:rPr>
          <w:noProof/>
        </w:rPr>
        <w:t>Contents</w:t>
      </w:r>
      <w:r w:rsidR="003A74F3">
        <w:rPr>
          <w:noProof/>
        </w:rPr>
        <w:tab/>
      </w:r>
      <w:r w:rsidR="003A74F3">
        <w:rPr>
          <w:noProof/>
        </w:rPr>
        <w:fldChar w:fldCharType="begin"/>
      </w:r>
      <w:r w:rsidR="003A74F3">
        <w:rPr>
          <w:noProof/>
        </w:rPr>
        <w:instrText xml:space="preserve"> PAGEREF _Toc469259563 \h </w:instrText>
      </w:r>
      <w:r w:rsidR="003A74F3">
        <w:rPr>
          <w:noProof/>
        </w:rPr>
      </w:r>
      <w:r w:rsidR="003A74F3">
        <w:rPr>
          <w:noProof/>
        </w:rPr>
        <w:fldChar w:fldCharType="separate"/>
      </w:r>
      <w:r w:rsidR="006B4F3C">
        <w:rPr>
          <w:noProof/>
        </w:rPr>
        <w:t>i</w:t>
      </w:r>
      <w:r w:rsidR="003A74F3">
        <w:rPr>
          <w:noProof/>
        </w:rPr>
        <w:fldChar w:fldCharType="end"/>
      </w:r>
    </w:p>
    <w:p w14:paraId="437A0334" w14:textId="77777777" w:rsidR="003A74F3" w:rsidRDefault="003A74F3">
      <w:pPr>
        <w:pStyle w:val="TOC1"/>
        <w:tabs>
          <w:tab w:val="right" w:leader="dot" w:pos="9016"/>
        </w:tabs>
        <w:rPr>
          <w:noProof/>
        </w:rPr>
      </w:pPr>
      <w:r>
        <w:rPr>
          <w:noProof/>
        </w:rPr>
        <w:t>Glossary</w:t>
      </w:r>
      <w:r>
        <w:rPr>
          <w:noProof/>
        </w:rPr>
        <w:tab/>
      </w:r>
      <w:r>
        <w:rPr>
          <w:noProof/>
        </w:rPr>
        <w:fldChar w:fldCharType="begin"/>
      </w:r>
      <w:r>
        <w:rPr>
          <w:noProof/>
        </w:rPr>
        <w:instrText xml:space="preserve"> PAGEREF _Toc469259564 \h </w:instrText>
      </w:r>
      <w:r>
        <w:rPr>
          <w:noProof/>
        </w:rPr>
      </w:r>
      <w:r>
        <w:rPr>
          <w:noProof/>
        </w:rPr>
        <w:fldChar w:fldCharType="separate"/>
      </w:r>
      <w:r w:rsidR="006B4F3C">
        <w:rPr>
          <w:noProof/>
        </w:rPr>
        <w:t>ii</w:t>
      </w:r>
      <w:r>
        <w:rPr>
          <w:noProof/>
        </w:rPr>
        <w:fldChar w:fldCharType="end"/>
      </w:r>
    </w:p>
    <w:p w14:paraId="43FB676B" w14:textId="77777777" w:rsidR="003A74F3" w:rsidRPr="003A74F3" w:rsidRDefault="003A74F3" w:rsidP="003A74F3">
      <w:pPr>
        <w:rPr>
          <w:rFonts w:eastAsiaTheme="minorEastAsia"/>
          <w:noProof/>
        </w:rPr>
      </w:pPr>
    </w:p>
    <w:p w14:paraId="3AD9C6E5" w14:textId="77777777" w:rsidR="003A74F3" w:rsidRDefault="003A74F3">
      <w:pPr>
        <w:pStyle w:val="TOC1"/>
        <w:tabs>
          <w:tab w:val="left" w:pos="440"/>
          <w:tab w:val="right" w:leader="dot" w:pos="9016"/>
        </w:tabs>
        <w:rPr>
          <w:rFonts w:asciiTheme="minorHAnsi" w:eastAsiaTheme="minorEastAsia" w:hAnsiTheme="minorHAnsi" w:cstheme="minorBidi"/>
          <w:noProof/>
          <w:szCs w:val="22"/>
          <w:lang w:eastAsia="en-GB"/>
        </w:rPr>
      </w:pPr>
      <w:r>
        <w:rPr>
          <w:noProof/>
        </w:rPr>
        <w:t>1</w:t>
      </w:r>
      <w:r>
        <w:rPr>
          <w:rFonts w:asciiTheme="minorHAnsi" w:eastAsiaTheme="minorEastAsia" w:hAnsiTheme="minorHAnsi" w:cstheme="minorBidi"/>
          <w:noProof/>
          <w:szCs w:val="22"/>
          <w:lang w:eastAsia="en-GB"/>
        </w:rPr>
        <w:tab/>
      </w:r>
      <w:r>
        <w:rPr>
          <w:noProof/>
        </w:rPr>
        <w:t>Introduction</w:t>
      </w:r>
      <w:r>
        <w:rPr>
          <w:noProof/>
        </w:rPr>
        <w:tab/>
      </w:r>
      <w:r>
        <w:rPr>
          <w:noProof/>
        </w:rPr>
        <w:fldChar w:fldCharType="begin"/>
      </w:r>
      <w:r>
        <w:rPr>
          <w:noProof/>
        </w:rPr>
        <w:instrText xml:space="preserve"> PAGEREF _Toc469259565 \h </w:instrText>
      </w:r>
      <w:r>
        <w:rPr>
          <w:noProof/>
        </w:rPr>
      </w:r>
      <w:r>
        <w:rPr>
          <w:noProof/>
        </w:rPr>
        <w:fldChar w:fldCharType="separate"/>
      </w:r>
      <w:r w:rsidR="006B4F3C">
        <w:rPr>
          <w:noProof/>
        </w:rPr>
        <w:t>1</w:t>
      </w:r>
      <w:r>
        <w:rPr>
          <w:noProof/>
        </w:rPr>
        <w:fldChar w:fldCharType="end"/>
      </w:r>
    </w:p>
    <w:p w14:paraId="4FB01356" w14:textId="77777777" w:rsidR="003A74F3" w:rsidRDefault="003A74F3">
      <w:pPr>
        <w:pStyle w:val="TOC2"/>
        <w:tabs>
          <w:tab w:val="left" w:pos="880"/>
          <w:tab w:val="right" w:leader="dot" w:pos="9016"/>
        </w:tabs>
        <w:rPr>
          <w:rFonts w:asciiTheme="minorHAnsi" w:eastAsiaTheme="minorEastAsia" w:hAnsiTheme="minorHAnsi" w:cstheme="minorBidi"/>
          <w:noProof/>
          <w:szCs w:val="22"/>
          <w:lang w:eastAsia="en-GB"/>
        </w:rPr>
      </w:pPr>
      <w:r>
        <w:rPr>
          <w:noProof/>
        </w:rPr>
        <w:t>1.1</w:t>
      </w:r>
      <w:r>
        <w:rPr>
          <w:rFonts w:asciiTheme="minorHAnsi" w:eastAsiaTheme="minorEastAsia" w:hAnsiTheme="minorHAnsi" w:cstheme="minorBidi"/>
          <w:noProof/>
          <w:szCs w:val="22"/>
          <w:lang w:eastAsia="en-GB"/>
        </w:rPr>
        <w:tab/>
      </w:r>
      <w:r>
        <w:rPr>
          <w:noProof/>
        </w:rPr>
        <w:t>Aims/scope of pre-assessment</w:t>
      </w:r>
      <w:r>
        <w:rPr>
          <w:noProof/>
        </w:rPr>
        <w:tab/>
      </w:r>
      <w:r>
        <w:rPr>
          <w:noProof/>
        </w:rPr>
        <w:fldChar w:fldCharType="begin"/>
      </w:r>
      <w:r>
        <w:rPr>
          <w:noProof/>
        </w:rPr>
        <w:instrText xml:space="preserve"> PAGEREF _Toc469259566 \h </w:instrText>
      </w:r>
      <w:r>
        <w:rPr>
          <w:noProof/>
        </w:rPr>
      </w:r>
      <w:r>
        <w:rPr>
          <w:noProof/>
        </w:rPr>
        <w:fldChar w:fldCharType="separate"/>
      </w:r>
      <w:r w:rsidR="006B4F3C">
        <w:rPr>
          <w:noProof/>
        </w:rPr>
        <w:t>1</w:t>
      </w:r>
      <w:r>
        <w:rPr>
          <w:noProof/>
        </w:rPr>
        <w:fldChar w:fldCharType="end"/>
      </w:r>
    </w:p>
    <w:p w14:paraId="30E2A368" w14:textId="77777777" w:rsidR="003A74F3" w:rsidRDefault="003A74F3">
      <w:pPr>
        <w:pStyle w:val="TOC2"/>
        <w:tabs>
          <w:tab w:val="left" w:pos="880"/>
          <w:tab w:val="right" w:leader="dot" w:pos="9016"/>
        </w:tabs>
        <w:rPr>
          <w:rFonts w:asciiTheme="minorHAnsi" w:eastAsiaTheme="minorEastAsia" w:hAnsiTheme="minorHAnsi" w:cstheme="minorBidi"/>
          <w:noProof/>
          <w:szCs w:val="22"/>
          <w:lang w:eastAsia="en-GB"/>
        </w:rPr>
      </w:pPr>
      <w:r>
        <w:rPr>
          <w:noProof/>
        </w:rPr>
        <w:t>1.2</w:t>
      </w:r>
      <w:r>
        <w:rPr>
          <w:rFonts w:asciiTheme="minorHAnsi" w:eastAsiaTheme="minorEastAsia" w:hAnsiTheme="minorHAnsi" w:cstheme="minorBidi"/>
          <w:noProof/>
          <w:szCs w:val="22"/>
          <w:lang w:eastAsia="en-GB"/>
        </w:rPr>
        <w:tab/>
      </w:r>
      <w:r>
        <w:rPr>
          <w:noProof/>
        </w:rPr>
        <w:t>Background</w:t>
      </w:r>
      <w:r>
        <w:rPr>
          <w:noProof/>
        </w:rPr>
        <w:tab/>
      </w:r>
      <w:r>
        <w:rPr>
          <w:noProof/>
        </w:rPr>
        <w:fldChar w:fldCharType="begin"/>
      </w:r>
      <w:r>
        <w:rPr>
          <w:noProof/>
        </w:rPr>
        <w:instrText xml:space="preserve"> PAGEREF _Toc469259567 \h </w:instrText>
      </w:r>
      <w:r>
        <w:rPr>
          <w:noProof/>
        </w:rPr>
      </w:r>
      <w:r>
        <w:rPr>
          <w:noProof/>
        </w:rPr>
        <w:fldChar w:fldCharType="separate"/>
      </w:r>
      <w:r w:rsidR="006B4F3C">
        <w:rPr>
          <w:noProof/>
        </w:rPr>
        <w:t>1</w:t>
      </w:r>
      <w:r>
        <w:rPr>
          <w:noProof/>
        </w:rPr>
        <w:fldChar w:fldCharType="end"/>
      </w:r>
    </w:p>
    <w:p w14:paraId="01A3AC78" w14:textId="77777777" w:rsidR="003A74F3" w:rsidRDefault="003A74F3">
      <w:pPr>
        <w:pStyle w:val="TOC2"/>
        <w:tabs>
          <w:tab w:val="left" w:pos="880"/>
          <w:tab w:val="right" w:leader="dot" w:pos="9016"/>
        </w:tabs>
        <w:rPr>
          <w:rFonts w:asciiTheme="minorHAnsi" w:eastAsiaTheme="minorEastAsia" w:hAnsiTheme="minorHAnsi" w:cstheme="minorBidi"/>
          <w:noProof/>
          <w:szCs w:val="22"/>
          <w:lang w:eastAsia="en-GB"/>
        </w:rPr>
      </w:pPr>
      <w:r>
        <w:rPr>
          <w:noProof/>
        </w:rPr>
        <w:t>1.3</w:t>
      </w:r>
      <w:r>
        <w:rPr>
          <w:rFonts w:asciiTheme="minorHAnsi" w:eastAsiaTheme="minorEastAsia" w:hAnsiTheme="minorHAnsi" w:cstheme="minorBidi"/>
          <w:noProof/>
          <w:szCs w:val="22"/>
          <w:lang w:eastAsia="en-GB"/>
        </w:rPr>
        <w:tab/>
      </w:r>
      <w:r>
        <w:rPr>
          <w:noProof/>
        </w:rPr>
        <w:t>Constraints to the pre-assessment of the fishery</w:t>
      </w:r>
      <w:r>
        <w:rPr>
          <w:noProof/>
        </w:rPr>
        <w:tab/>
      </w:r>
      <w:r>
        <w:rPr>
          <w:noProof/>
        </w:rPr>
        <w:fldChar w:fldCharType="begin"/>
      </w:r>
      <w:r>
        <w:rPr>
          <w:noProof/>
        </w:rPr>
        <w:instrText xml:space="preserve"> PAGEREF _Toc469259568 \h </w:instrText>
      </w:r>
      <w:r>
        <w:rPr>
          <w:noProof/>
        </w:rPr>
      </w:r>
      <w:r>
        <w:rPr>
          <w:noProof/>
        </w:rPr>
        <w:fldChar w:fldCharType="separate"/>
      </w:r>
      <w:r w:rsidR="006B4F3C">
        <w:rPr>
          <w:noProof/>
        </w:rPr>
        <w:t>2</w:t>
      </w:r>
      <w:r>
        <w:rPr>
          <w:noProof/>
        </w:rPr>
        <w:fldChar w:fldCharType="end"/>
      </w:r>
    </w:p>
    <w:p w14:paraId="7F1C2958" w14:textId="77777777" w:rsidR="003A74F3" w:rsidRDefault="003A74F3">
      <w:pPr>
        <w:pStyle w:val="TOC2"/>
        <w:tabs>
          <w:tab w:val="left" w:pos="880"/>
          <w:tab w:val="right" w:leader="dot" w:pos="9016"/>
        </w:tabs>
        <w:rPr>
          <w:rFonts w:asciiTheme="minorHAnsi" w:eastAsiaTheme="minorEastAsia" w:hAnsiTheme="minorHAnsi" w:cstheme="minorBidi"/>
          <w:noProof/>
          <w:szCs w:val="22"/>
          <w:lang w:eastAsia="en-GB"/>
        </w:rPr>
      </w:pPr>
      <w:r>
        <w:rPr>
          <w:noProof/>
        </w:rPr>
        <w:t>1.4</w:t>
      </w:r>
      <w:r>
        <w:rPr>
          <w:rFonts w:asciiTheme="minorHAnsi" w:eastAsiaTheme="minorEastAsia" w:hAnsiTheme="minorHAnsi" w:cstheme="minorBidi"/>
          <w:noProof/>
          <w:szCs w:val="22"/>
          <w:lang w:eastAsia="en-GB"/>
        </w:rPr>
        <w:tab/>
      </w:r>
      <w:r>
        <w:rPr>
          <w:noProof/>
        </w:rPr>
        <w:t>Unit(s) of Assessment</w:t>
      </w:r>
      <w:r>
        <w:rPr>
          <w:noProof/>
        </w:rPr>
        <w:tab/>
      </w:r>
      <w:r>
        <w:rPr>
          <w:noProof/>
        </w:rPr>
        <w:fldChar w:fldCharType="begin"/>
      </w:r>
      <w:r>
        <w:rPr>
          <w:noProof/>
        </w:rPr>
        <w:instrText xml:space="preserve"> PAGEREF _Toc469259569 \h </w:instrText>
      </w:r>
      <w:r>
        <w:rPr>
          <w:noProof/>
        </w:rPr>
      </w:r>
      <w:r>
        <w:rPr>
          <w:noProof/>
        </w:rPr>
        <w:fldChar w:fldCharType="separate"/>
      </w:r>
      <w:r w:rsidR="006B4F3C">
        <w:rPr>
          <w:noProof/>
        </w:rPr>
        <w:t>2</w:t>
      </w:r>
      <w:r>
        <w:rPr>
          <w:noProof/>
        </w:rPr>
        <w:fldChar w:fldCharType="end"/>
      </w:r>
    </w:p>
    <w:p w14:paraId="766B062F" w14:textId="77777777" w:rsidR="003A74F3" w:rsidRDefault="003A74F3">
      <w:pPr>
        <w:pStyle w:val="TOC2"/>
        <w:tabs>
          <w:tab w:val="left" w:pos="880"/>
          <w:tab w:val="right" w:leader="dot" w:pos="9016"/>
        </w:tabs>
        <w:rPr>
          <w:rFonts w:asciiTheme="minorHAnsi" w:eastAsiaTheme="minorEastAsia" w:hAnsiTheme="minorHAnsi" w:cstheme="minorBidi"/>
          <w:noProof/>
          <w:szCs w:val="22"/>
          <w:lang w:eastAsia="en-GB"/>
        </w:rPr>
      </w:pPr>
      <w:r>
        <w:rPr>
          <w:noProof/>
        </w:rPr>
        <w:t>1.5</w:t>
      </w:r>
      <w:r>
        <w:rPr>
          <w:rFonts w:asciiTheme="minorHAnsi" w:eastAsiaTheme="minorEastAsia" w:hAnsiTheme="minorHAnsi" w:cstheme="minorBidi"/>
          <w:noProof/>
          <w:szCs w:val="22"/>
          <w:lang w:eastAsia="en-GB"/>
        </w:rPr>
        <w:tab/>
      </w:r>
      <w:r>
        <w:rPr>
          <w:noProof/>
        </w:rPr>
        <w:t>Total Allowable Catch (TAC) and Catch Data</w:t>
      </w:r>
      <w:r>
        <w:rPr>
          <w:noProof/>
        </w:rPr>
        <w:tab/>
      </w:r>
      <w:r>
        <w:rPr>
          <w:noProof/>
        </w:rPr>
        <w:fldChar w:fldCharType="begin"/>
      </w:r>
      <w:r>
        <w:rPr>
          <w:noProof/>
        </w:rPr>
        <w:instrText xml:space="preserve"> PAGEREF _Toc469259570 \h </w:instrText>
      </w:r>
      <w:r>
        <w:rPr>
          <w:noProof/>
        </w:rPr>
      </w:r>
      <w:r>
        <w:rPr>
          <w:noProof/>
        </w:rPr>
        <w:fldChar w:fldCharType="separate"/>
      </w:r>
      <w:r w:rsidR="006B4F3C">
        <w:rPr>
          <w:noProof/>
        </w:rPr>
        <w:t>2</w:t>
      </w:r>
      <w:r>
        <w:rPr>
          <w:noProof/>
        </w:rPr>
        <w:fldChar w:fldCharType="end"/>
      </w:r>
    </w:p>
    <w:p w14:paraId="02D92FFD" w14:textId="77777777" w:rsidR="003A74F3" w:rsidRDefault="003A74F3">
      <w:pPr>
        <w:pStyle w:val="TOC1"/>
        <w:tabs>
          <w:tab w:val="left" w:pos="440"/>
          <w:tab w:val="right" w:leader="dot" w:pos="9016"/>
        </w:tabs>
        <w:rPr>
          <w:rFonts w:asciiTheme="minorHAnsi" w:eastAsiaTheme="minorEastAsia" w:hAnsiTheme="minorHAnsi" w:cstheme="minorBidi"/>
          <w:noProof/>
          <w:szCs w:val="22"/>
          <w:lang w:eastAsia="en-GB"/>
        </w:rPr>
      </w:pPr>
      <w:r>
        <w:rPr>
          <w:noProof/>
        </w:rPr>
        <w:t>2</w:t>
      </w:r>
      <w:r>
        <w:rPr>
          <w:rFonts w:asciiTheme="minorHAnsi" w:eastAsiaTheme="minorEastAsia" w:hAnsiTheme="minorHAnsi" w:cstheme="minorBidi"/>
          <w:noProof/>
          <w:szCs w:val="22"/>
          <w:lang w:eastAsia="en-GB"/>
        </w:rPr>
        <w:tab/>
      </w:r>
      <w:r w:rsidRPr="00936E53">
        <w:rPr>
          <w:rFonts w:eastAsia="Calibri"/>
          <w:noProof/>
        </w:rPr>
        <w:t>Description of the fishery</w:t>
      </w:r>
      <w:r>
        <w:rPr>
          <w:noProof/>
        </w:rPr>
        <w:tab/>
      </w:r>
      <w:r>
        <w:rPr>
          <w:noProof/>
        </w:rPr>
        <w:fldChar w:fldCharType="begin"/>
      </w:r>
      <w:r>
        <w:rPr>
          <w:noProof/>
        </w:rPr>
        <w:instrText xml:space="preserve"> PAGEREF _Toc469259571 \h </w:instrText>
      </w:r>
      <w:r>
        <w:rPr>
          <w:noProof/>
        </w:rPr>
      </w:r>
      <w:r>
        <w:rPr>
          <w:noProof/>
        </w:rPr>
        <w:fldChar w:fldCharType="separate"/>
      </w:r>
      <w:r w:rsidR="006B4F3C">
        <w:rPr>
          <w:noProof/>
        </w:rPr>
        <w:t>4</w:t>
      </w:r>
      <w:r>
        <w:rPr>
          <w:noProof/>
        </w:rPr>
        <w:fldChar w:fldCharType="end"/>
      </w:r>
    </w:p>
    <w:p w14:paraId="6112BA93" w14:textId="77777777" w:rsidR="003A74F3" w:rsidRDefault="003A74F3">
      <w:pPr>
        <w:pStyle w:val="TOC2"/>
        <w:tabs>
          <w:tab w:val="left" w:pos="880"/>
          <w:tab w:val="right" w:leader="dot" w:pos="9016"/>
        </w:tabs>
        <w:rPr>
          <w:rFonts w:asciiTheme="minorHAnsi" w:eastAsiaTheme="minorEastAsia" w:hAnsiTheme="minorHAnsi" w:cstheme="minorBidi"/>
          <w:noProof/>
          <w:szCs w:val="22"/>
          <w:lang w:eastAsia="en-GB"/>
        </w:rPr>
      </w:pPr>
      <w:r>
        <w:rPr>
          <w:noProof/>
        </w:rPr>
        <w:t>2.1</w:t>
      </w:r>
      <w:r>
        <w:rPr>
          <w:rFonts w:asciiTheme="minorHAnsi" w:eastAsiaTheme="minorEastAsia" w:hAnsiTheme="minorHAnsi" w:cstheme="minorBidi"/>
          <w:noProof/>
          <w:szCs w:val="22"/>
          <w:lang w:eastAsia="en-GB"/>
        </w:rPr>
        <w:tab/>
      </w:r>
      <w:r>
        <w:rPr>
          <w:noProof/>
        </w:rPr>
        <w:t>Scope of the fishery in relation to the MSC programme</w:t>
      </w:r>
      <w:r>
        <w:rPr>
          <w:noProof/>
        </w:rPr>
        <w:tab/>
      </w:r>
      <w:r>
        <w:rPr>
          <w:noProof/>
        </w:rPr>
        <w:fldChar w:fldCharType="begin"/>
      </w:r>
      <w:r>
        <w:rPr>
          <w:noProof/>
        </w:rPr>
        <w:instrText xml:space="preserve"> PAGEREF _Toc469259572 \h </w:instrText>
      </w:r>
      <w:r>
        <w:rPr>
          <w:noProof/>
        </w:rPr>
      </w:r>
      <w:r>
        <w:rPr>
          <w:noProof/>
        </w:rPr>
        <w:fldChar w:fldCharType="separate"/>
      </w:r>
      <w:r w:rsidR="006B4F3C">
        <w:rPr>
          <w:noProof/>
        </w:rPr>
        <w:t>4</w:t>
      </w:r>
      <w:r>
        <w:rPr>
          <w:noProof/>
        </w:rPr>
        <w:fldChar w:fldCharType="end"/>
      </w:r>
    </w:p>
    <w:p w14:paraId="268C860D" w14:textId="77777777" w:rsidR="003A74F3" w:rsidRDefault="003A74F3">
      <w:pPr>
        <w:pStyle w:val="TOC2"/>
        <w:tabs>
          <w:tab w:val="left" w:pos="880"/>
          <w:tab w:val="right" w:leader="dot" w:pos="9016"/>
        </w:tabs>
        <w:rPr>
          <w:rFonts w:asciiTheme="minorHAnsi" w:eastAsiaTheme="minorEastAsia" w:hAnsiTheme="minorHAnsi" w:cstheme="minorBidi"/>
          <w:noProof/>
          <w:szCs w:val="22"/>
          <w:lang w:eastAsia="en-GB"/>
        </w:rPr>
      </w:pPr>
      <w:r>
        <w:rPr>
          <w:noProof/>
        </w:rPr>
        <w:t>2.2</w:t>
      </w:r>
      <w:r>
        <w:rPr>
          <w:rFonts w:asciiTheme="minorHAnsi" w:eastAsiaTheme="minorEastAsia" w:hAnsiTheme="minorHAnsi" w:cstheme="minorBidi"/>
          <w:noProof/>
          <w:szCs w:val="22"/>
          <w:lang w:eastAsia="en-GB"/>
        </w:rPr>
        <w:tab/>
      </w:r>
      <w:r>
        <w:rPr>
          <w:noProof/>
        </w:rPr>
        <w:t>Introduced Species / Inseparable Stocks (IPI) / Enhanced Fishery / Low Trophic</w:t>
      </w:r>
      <w:r>
        <w:rPr>
          <w:noProof/>
        </w:rPr>
        <w:tab/>
      </w:r>
      <w:r>
        <w:rPr>
          <w:noProof/>
        </w:rPr>
        <w:fldChar w:fldCharType="begin"/>
      </w:r>
      <w:r>
        <w:rPr>
          <w:noProof/>
        </w:rPr>
        <w:instrText xml:space="preserve"> PAGEREF _Toc469259573 \h </w:instrText>
      </w:r>
      <w:r>
        <w:rPr>
          <w:noProof/>
        </w:rPr>
      </w:r>
      <w:r>
        <w:rPr>
          <w:noProof/>
        </w:rPr>
        <w:fldChar w:fldCharType="separate"/>
      </w:r>
      <w:r w:rsidR="006B4F3C">
        <w:rPr>
          <w:noProof/>
        </w:rPr>
        <w:t>4</w:t>
      </w:r>
      <w:r>
        <w:rPr>
          <w:noProof/>
        </w:rPr>
        <w:fldChar w:fldCharType="end"/>
      </w:r>
    </w:p>
    <w:p w14:paraId="77FF79BC" w14:textId="77777777" w:rsidR="003A74F3" w:rsidRDefault="003A74F3">
      <w:pPr>
        <w:pStyle w:val="TOC2"/>
        <w:tabs>
          <w:tab w:val="left" w:pos="880"/>
          <w:tab w:val="right" w:leader="dot" w:pos="9016"/>
        </w:tabs>
        <w:rPr>
          <w:rFonts w:asciiTheme="minorHAnsi" w:eastAsiaTheme="minorEastAsia" w:hAnsiTheme="minorHAnsi" w:cstheme="minorBidi"/>
          <w:noProof/>
          <w:szCs w:val="22"/>
          <w:lang w:eastAsia="en-GB"/>
        </w:rPr>
      </w:pPr>
      <w:r>
        <w:rPr>
          <w:noProof/>
        </w:rPr>
        <w:t>2.3</w:t>
      </w:r>
      <w:r>
        <w:rPr>
          <w:rFonts w:asciiTheme="minorHAnsi" w:eastAsiaTheme="minorEastAsia" w:hAnsiTheme="minorHAnsi" w:cstheme="minorBidi"/>
          <w:noProof/>
          <w:szCs w:val="22"/>
          <w:lang w:eastAsia="en-GB"/>
        </w:rPr>
        <w:tab/>
      </w:r>
      <w:r>
        <w:rPr>
          <w:noProof/>
        </w:rPr>
        <w:t>Overview of the fishery</w:t>
      </w:r>
      <w:r>
        <w:rPr>
          <w:noProof/>
        </w:rPr>
        <w:tab/>
      </w:r>
      <w:r>
        <w:rPr>
          <w:noProof/>
        </w:rPr>
        <w:fldChar w:fldCharType="begin"/>
      </w:r>
      <w:r>
        <w:rPr>
          <w:noProof/>
        </w:rPr>
        <w:instrText xml:space="preserve"> PAGEREF _Toc469259574 \h </w:instrText>
      </w:r>
      <w:r>
        <w:rPr>
          <w:noProof/>
        </w:rPr>
      </w:r>
      <w:r>
        <w:rPr>
          <w:noProof/>
        </w:rPr>
        <w:fldChar w:fldCharType="separate"/>
      </w:r>
      <w:r w:rsidR="006B4F3C">
        <w:rPr>
          <w:noProof/>
        </w:rPr>
        <w:t>4</w:t>
      </w:r>
      <w:r>
        <w:rPr>
          <w:noProof/>
        </w:rPr>
        <w:fldChar w:fldCharType="end"/>
      </w:r>
    </w:p>
    <w:p w14:paraId="1EEE1969" w14:textId="77777777" w:rsidR="003A74F3" w:rsidRDefault="003A74F3">
      <w:pPr>
        <w:pStyle w:val="TOC2"/>
        <w:tabs>
          <w:tab w:val="left" w:pos="880"/>
          <w:tab w:val="right" w:leader="dot" w:pos="9016"/>
        </w:tabs>
        <w:rPr>
          <w:rFonts w:asciiTheme="minorHAnsi" w:eastAsiaTheme="minorEastAsia" w:hAnsiTheme="minorHAnsi" w:cstheme="minorBidi"/>
          <w:noProof/>
          <w:szCs w:val="22"/>
          <w:lang w:eastAsia="en-GB"/>
        </w:rPr>
      </w:pPr>
      <w:r>
        <w:rPr>
          <w:noProof/>
        </w:rPr>
        <w:t>2.4</w:t>
      </w:r>
      <w:r>
        <w:rPr>
          <w:rFonts w:asciiTheme="minorHAnsi" w:eastAsiaTheme="minorEastAsia" w:hAnsiTheme="minorHAnsi" w:cstheme="minorBidi"/>
          <w:noProof/>
          <w:szCs w:val="22"/>
          <w:lang w:eastAsia="en-GB"/>
        </w:rPr>
        <w:tab/>
      </w:r>
      <w:r>
        <w:rPr>
          <w:noProof/>
        </w:rPr>
        <w:t>Other elements in the fishery</w:t>
      </w:r>
      <w:r>
        <w:rPr>
          <w:noProof/>
        </w:rPr>
        <w:tab/>
      </w:r>
      <w:r>
        <w:rPr>
          <w:noProof/>
        </w:rPr>
        <w:fldChar w:fldCharType="begin"/>
      </w:r>
      <w:r>
        <w:rPr>
          <w:noProof/>
        </w:rPr>
        <w:instrText xml:space="preserve"> PAGEREF _Toc469259575 \h </w:instrText>
      </w:r>
      <w:r>
        <w:rPr>
          <w:noProof/>
        </w:rPr>
      </w:r>
      <w:r>
        <w:rPr>
          <w:noProof/>
        </w:rPr>
        <w:fldChar w:fldCharType="separate"/>
      </w:r>
      <w:r w:rsidR="006B4F3C">
        <w:rPr>
          <w:noProof/>
        </w:rPr>
        <w:t>6</w:t>
      </w:r>
      <w:r>
        <w:rPr>
          <w:noProof/>
        </w:rPr>
        <w:fldChar w:fldCharType="end"/>
      </w:r>
    </w:p>
    <w:p w14:paraId="2F518B37" w14:textId="77777777" w:rsidR="003A74F3" w:rsidRDefault="003A74F3">
      <w:pPr>
        <w:pStyle w:val="TOC1"/>
        <w:tabs>
          <w:tab w:val="left" w:pos="440"/>
          <w:tab w:val="right" w:leader="dot" w:pos="9016"/>
        </w:tabs>
        <w:rPr>
          <w:rFonts w:asciiTheme="minorHAnsi" w:eastAsiaTheme="minorEastAsia" w:hAnsiTheme="minorHAnsi" w:cstheme="minorBidi"/>
          <w:noProof/>
          <w:szCs w:val="22"/>
          <w:lang w:eastAsia="en-GB"/>
        </w:rPr>
      </w:pPr>
      <w:r>
        <w:rPr>
          <w:noProof/>
          <w:lang w:eastAsia="en-GB"/>
        </w:rPr>
        <w:t>3</w:t>
      </w:r>
      <w:r>
        <w:rPr>
          <w:rFonts w:asciiTheme="minorHAnsi" w:eastAsiaTheme="minorEastAsia" w:hAnsiTheme="minorHAnsi" w:cstheme="minorBidi"/>
          <w:noProof/>
          <w:szCs w:val="22"/>
          <w:lang w:eastAsia="en-GB"/>
        </w:rPr>
        <w:tab/>
      </w:r>
      <w:r w:rsidRPr="00936E53">
        <w:rPr>
          <w:rFonts w:eastAsia="Calibri"/>
          <w:noProof/>
        </w:rPr>
        <w:t>Evaluation Procedure</w:t>
      </w:r>
      <w:r>
        <w:rPr>
          <w:noProof/>
        </w:rPr>
        <w:tab/>
      </w:r>
      <w:r>
        <w:rPr>
          <w:noProof/>
        </w:rPr>
        <w:fldChar w:fldCharType="begin"/>
      </w:r>
      <w:r>
        <w:rPr>
          <w:noProof/>
        </w:rPr>
        <w:instrText xml:space="preserve"> PAGEREF _Toc469259576 \h </w:instrText>
      </w:r>
      <w:r>
        <w:rPr>
          <w:noProof/>
        </w:rPr>
      </w:r>
      <w:r>
        <w:rPr>
          <w:noProof/>
        </w:rPr>
        <w:fldChar w:fldCharType="separate"/>
      </w:r>
      <w:r w:rsidR="006B4F3C">
        <w:rPr>
          <w:noProof/>
        </w:rPr>
        <w:t>8</w:t>
      </w:r>
      <w:r>
        <w:rPr>
          <w:noProof/>
        </w:rPr>
        <w:fldChar w:fldCharType="end"/>
      </w:r>
    </w:p>
    <w:p w14:paraId="66568E0D" w14:textId="77777777" w:rsidR="003A74F3" w:rsidRDefault="003A74F3">
      <w:pPr>
        <w:pStyle w:val="TOC2"/>
        <w:tabs>
          <w:tab w:val="left" w:pos="880"/>
          <w:tab w:val="right" w:leader="dot" w:pos="9016"/>
        </w:tabs>
        <w:rPr>
          <w:rFonts w:asciiTheme="minorHAnsi" w:eastAsiaTheme="minorEastAsia" w:hAnsiTheme="minorHAnsi" w:cstheme="minorBidi"/>
          <w:noProof/>
          <w:szCs w:val="22"/>
          <w:lang w:eastAsia="en-GB"/>
        </w:rPr>
      </w:pPr>
      <w:r>
        <w:rPr>
          <w:noProof/>
        </w:rPr>
        <w:t>3.1</w:t>
      </w:r>
      <w:r>
        <w:rPr>
          <w:rFonts w:asciiTheme="minorHAnsi" w:eastAsiaTheme="minorEastAsia" w:hAnsiTheme="minorHAnsi" w:cstheme="minorBidi"/>
          <w:noProof/>
          <w:szCs w:val="22"/>
          <w:lang w:eastAsia="en-GB"/>
        </w:rPr>
        <w:tab/>
      </w:r>
      <w:r>
        <w:rPr>
          <w:noProof/>
        </w:rPr>
        <w:t>Assessment methodologies used</w:t>
      </w:r>
      <w:r>
        <w:rPr>
          <w:noProof/>
        </w:rPr>
        <w:tab/>
      </w:r>
      <w:r>
        <w:rPr>
          <w:noProof/>
        </w:rPr>
        <w:fldChar w:fldCharType="begin"/>
      </w:r>
      <w:r>
        <w:rPr>
          <w:noProof/>
        </w:rPr>
        <w:instrText xml:space="preserve"> PAGEREF _Toc469259577 \h </w:instrText>
      </w:r>
      <w:r>
        <w:rPr>
          <w:noProof/>
        </w:rPr>
      </w:r>
      <w:r>
        <w:rPr>
          <w:noProof/>
        </w:rPr>
        <w:fldChar w:fldCharType="separate"/>
      </w:r>
      <w:r w:rsidR="006B4F3C">
        <w:rPr>
          <w:noProof/>
        </w:rPr>
        <w:t>8</w:t>
      </w:r>
      <w:r>
        <w:rPr>
          <w:noProof/>
        </w:rPr>
        <w:fldChar w:fldCharType="end"/>
      </w:r>
    </w:p>
    <w:p w14:paraId="21947718" w14:textId="77777777" w:rsidR="003A74F3" w:rsidRDefault="003A74F3">
      <w:pPr>
        <w:pStyle w:val="TOC2"/>
        <w:tabs>
          <w:tab w:val="left" w:pos="880"/>
          <w:tab w:val="right" w:leader="dot" w:pos="9016"/>
        </w:tabs>
        <w:rPr>
          <w:rFonts w:asciiTheme="minorHAnsi" w:eastAsiaTheme="minorEastAsia" w:hAnsiTheme="minorHAnsi" w:cstheme="minorBidi"/>
          <w:noProof/>
          <w:szCs w:val="22"/>
          <w:lang w:eastAsia="en-GB"/>
        </w:rPr>
      </w:pPr>
      <w:r>
        <w:rPr>
          <w:noProof/>
        </w:rPr>
        <w:t>3.2</w:t>
      </w:r>
      <w:r>
        <w:rPr>
          <w:rFonts w:asciiTheme="minorHAnsi" w:eastAsiaTheme="minorEastAsia" w:hAnsiTheme="minorHAnsi" w:cstheme="minorBidi"/>
          <w:noProof/>
          <w:szCs w:val="22"/>
          <w:lang w:eastAsia="en-GB"/>
        </w:rPr>
        <w:tab/>
      </w:r>
      <w:r>
        <w:rPr>
          <w:noProof/>
        </w:rPr>
        <w:t>Summary of consultations during pre-assessment</w:t>
      </w:r>
      <w:r>
        <w:rPr>
          <w:noProof/>
        </w:rPr>
        <w:tab/>
      </w:r>
      <w:r>
        <w:rPr>
          <w:noProof/>
        </w:rPr>
        <w:fldChar w:fldCharType="begin"/>
      </w:r>
      <w:r>
        <w:rPr>
          <w:noProof/>
        </w:rPr>
        <w:instrText xml:space="preserve"> PAGEREF _Toc469259578 \h </w:instrText>
      </w:r>
      <w:r>
        <w:rPr>
          <w:noProof/>
        </w:rPr>
      </w:r>
      <w:r>
        <w:rPr>
          <w:noProof/>
        </w:rPr>
        <w:fldChar w:fldCharType="separate"/>
      </w:r>
      <w:r w:rsidR="006B4F3C">
        <w:rPr>
          <w:noProof/>
        </w:rPr>
        <w:t>8</w:t>
      </w:r>
      <w:r>
        <w:rPr>
          <w:noProof/>
        </w:rPr>
        <w:fldChar w:fldCharType="end"/>
      </w:r>
    </w:p>
    <w:p w14:paraId="57A99C8C" w14:textId="77777777" w:rsidR="003A74F3" w:rsidRDefault="003A74F3">
      <w:pPr>
        <w:pStyle w:val="TOC2"/>
        <w:tabs>
          <w:tab w:val="left" w:pos="880"/>
          <w:tab w:val="right" w:leader="dot" w:pos="9016"/>
        </w:tabs>
        <w:rPr>
          <w:rFonts w:asciiTheme="minorHAnsi" w:eastAsiaTheme="minorEastAsia" w:hAnsiTheme="minorHAnsi" w:cstheme="minorBidi"/>
          <w:noProof/>
          <w:szCs w:val="22"/>
          <w:lang w:eastAsia="en-GB"/>
        </w:rPr>
      </w:pPr>
      <w:r>
        <w:rPr>
          <w:noProof/>
        </w:rPr>
        <w:t>3.3</w:t>
      </w:r>
      <w:r>
        <w:rPr>
          <w:rFonts w:asciiTheme="minorHAnsi" w:eastAsiaTheme="minorEastAsia" w:hAnsiTheme="minorHAnsi" w:cstheme="minorBidi"/>
          <w:noProof/>
          <w:szCs w:val="22"/>
          <w:lang w:eastAsia="en-GB"/>
        </w:rPr>
        <w:tab/>
      </w:r>
      <w:r>
        <w:rPr>
          <w:noProof/>
        </w:rPr>
        <w:t>Applicability of the default assessment tree</w:t>
      </w:r>
      <w:r>
        <w:rPr>
          <w:noProof/>
        </w:rPr>
        <w:tab/>
      </w:r>
      <w:r>
        <w:rPr>
          <w:noProof/>
        </w:rPr>
        <w:fldChar w:fldCharType="begin"/>
      </w:r>
      <w:r>
        <w:rPr>
          <w:noProof/>
        </w:rPr>
        <w:instrText xml:space="preserve"> PAGEREF _Toc469259579 \h </w:instrText>
      </w:r>
      <w:r>
        <w:rPr>
          <w:noProof/>
        </w:rPr>
      </w:r>
      <w:r>
        <w:rPr>
          <w:noProof/>
        </w:rPr>
        <w:fldChar w:fldCharType="separate"/>
      </w:r>
      <w:r w:rsidR="006B4F3C">
        <w:rPr>
          <w:noProof/>
        </w:rPr>
        <w:t>8</w:t>
      </w:r>
      <w:r>
        <w:rPr>
          <w:noProof/>
        </w:rPr>
        <w:fldChar w:fldCharType="end"/>
      </w:r>
    </w:p>
    <w:p w14:paraId="20E795FB" w14:textId="77777777" w:rsidR="003A74F3" w:rsidRDefault="003A74F3">
      <w:pPr>
        <w:pStyle w:val="TOC2"/>
        <w:tabs>
          <w:tab w:val="left" w:pos="880"/>
          <w:tab w:val="right" w:leader="dot" w:pos="9016"/>
        </w:tabs>
        <w:rPr>
          <w:rFonts w:asciiTheme="minorHAnsi" w:eastAsiaTheme="minorEastAsia" w:hAnsiTheme="minorHAnsi" w:cstheme="minorBidi"/>
          <w:noProof/>
          <w:szCs w:val="22"/>
          <w:lang w:eastAsia="en-GB"/>
        </w:rPr>
      </w:pPr>
      <w:r>
        <w:rPr>
          <w:noProof/>
        </w:rPr>
        <w:t>3.4</w:t>
      </w:r>
      <w:r>
        <w:rPr>
          <w:rFonts w:asciiTheme="minorHAnsi" w:eastAsiaTheme="minorEastAsia" w:hAnsiTheme="minorHAnsi" w:cstheme="minorBidi"/>
          <w:noProof/>
          <w:szCs w:val="22"/>
          <w:lang w:eastAsia="en-GB"/>
        </w:rPr>
        <w:tab/>
      </w:r>
      <w:r>
        <w:rPr>
          <w:noProof/>
        </w:rPr>
        <w:t>Approach to Scoring</w:t>
      </w:r>
      <w:r>
        <w:rPr>
          <w:noProof/>
        </w:rPr>
        <w:tab/>
      </w:r>
      <w:r>
        <w:rPr>
          <w:noProof/>
        </w:rPr>
        <w:fldChar w:fldCharType="begin"/>
      </w:r>
      <w:r>
        <w:rPr>
          <w:noProof/>
        </w:rPr>
        <w:instrText xml:space="preserve"> PAGEREF _Toc469259580 \h </w:instrText>
      </w:r>
      <w:r>
        <w:rPr>
          <w:noProof/>
        </w:rPr>
      </w:r>
      <w:r>
        <w:rPr>
          <w:noProof/>
        </w:rPr>
        <w:fldChar w:fldCharType="separate"/>
      </w:r>
      <w:r w:rsidR="006B4F3C">
        <w:rPr>
          <w:noProof/>
        </w:rPr>
        <w:t>8</w:t>
      </w:r>
      <w:r>
        <w:rPr>
          <w:noProof/>
        </w:rPr>
        <w:fldChar w:fldCharType="end"/>
      </w:r>
    </w:p>
    <w:p w14:paraId="6F717FF8" w14:textId="77777777" w:rsidR="003A74F3" w:rsidRDefault="003A74F3">
      <w:pPr>
        <w:pStyle w:val="TOC2"/>
        <w:tabs>
          <w:tab w:val="left" w:pos="880"/>
          <w:tab w:val="right" w:leader="dot" w:pos="9016"/>
        </w:tabs>
        <w:rPr>
          <w:rFonts w:asciiTheme="minorHAnsi" w:eastAsiaTheme="minorEastAsia" w:hAnsiTheme="minorHAnsi" w:cstheme="minorBidi"/>
          <w:noProof/>
          <w:szCs w:val="22"/>
          <w:lang w:eastAsia="en-GB"/>
        </w:rPr>
      </w:pPr>
      <w:r>
        <w:rPr>
          <w:noProof/>
        </w:rPr>
        <w:t>3.5</w:t>
      </w:r>
      <w:r>
        <w:rPr>
          <w:rFonts w:asciiTheme="minorHAnsi" w:eastAsiaTheme="minorEastAsia" w:hAnsiTheme="minorHAnsi" w:cstheme="minorBidi"/>
          <w:noProof/>
          <w:szCs w:val="22"/>
          <w:lang w:eastAsia="en-GB"/>
        </w:rPr>
        <w:tab/>
      </w:r>
      <w:r>
        <w:rPr>
          <w:noProof/>
        </w:rPr>
        <w:t>Stakeholders to be consulted during a full assessment</w:t>
      </w:r>
      <w:r>
        <w:rPr>
          <w:noProof/>
        </w:rPr>
        <w:tab/>
      </w:r>
      <w:r>
        <w:rPr>
          <w:noProof/>
        </w:rPr>
        <w:fldChar w:fldCharType="begin"/>
      </w:r>
      <w:r>
        <w:rPr>
          <w:noProof/>
        </w:rPr>
        <w:instrText xml:space="preserve"> PAGEREF _Toc469259581 \h </w:instrText>
      </w:r>
      <w:r>
        <w:rPr>
          <w:noProof/>
        </w:rPr>
      </w:r>
      <w:r>
        <w:rPr>
          <w:noProof/>
        </w:rPr>
        <w:fldChar w:fldCharType="separate"/>
      </w:r>
      <w:r w:rsidR="006B4F3C">
        <w:rPr>
          <w:noProof/>
        </w:rPr>
        <w:t>8</w:t>
      </w:r>
      <w:r>
        <w:rPr>
          <w:noProof/>
        </w:rPr>
        <w:fldChar w:fldCharType="end"/>
      </w:r>
    </w:p>
    <w:p w14:paraId="7047395D" w14:textId="77777777" w:rsidR="003A74F3" w:rsidRDefault="003A74F3">
      <w:pPr>
        <w:pStyle w:val="TOC1"/>
        <w:tabs>
          <w:tab w:val="left" w:pos="440"/>
          <w:tab w:val="right" w:leader="dot" w:pos="9016"/>
        </w:tabs>
        <w:rPr>
          <w:rFonts w:asciiTheme="minorHAnsi" w:eastAsiaTheme="minorEastAsia" w:hAnsiTheme="minorHAnsi" w:cstheme="minorBidi"/>
          <w:noProof/>
          <w:szCs w:val="22"/>
          <w:lang w:eastAsia="en-GB"/>
        </w:rPr>
      </w:pPr>
      <w:r>
        <w:rPr>
          <w:noProof/>
          <w:lang w:eastAsia="en-GB"/>
        </w:rPr>
        <w:t>4</w:t>
      </w:r>
      <w:r>
        <w:rPr>
          <w:rFonts w:asciiTheme="minorHAnsi" w:eastAsiaTheme="minorEastAsia" w:hAnsiTheme="minorHAnsi" w:cstheme="minorBidi"/>
          <w:noProof/>
          <w:szCs w:val="22"/>
          <w:lang w:eastAsia="en-GB"/>
        </w:rPr>
        <w:tab/>
      </w:r>
      <w:r w:rsidRPr="00936E53">
        <w:rPr>
          <w:rFonts w:eastAsia="Calibri"/>
          <w:noProof/>
        </w:rPr>
        <w:t>Traceability (issues relevant to Chain of Custody certification)</w:t>
      </w:r>
      <w:r>
        <w:rPr>
          <w:noProof/>
        </w:rPr>
        <w:tab/>
      </w:r>
      <w:r>
        <w:rPr>
          <w:noProof/>
        </w:rPr>
        <w:fldChar w:fldCharType="begin"/>
      </w:r>
      <w:r>
        <w:rPr>
          <w:noProof/>
        </w:rPr>
        <w:instrText xml:space="preserve"> PAGEREF _Toc469259582 \h </w:instrText>
      </w:r>
      <w:r>
        <w:rPr>
          <w:noProof/>
        </w:rPr>
      </w:r>
      <w:r>
        <w:rPr>
          <w:noProof/>
        </w:rPr>
        <w:fldChar w:fldCharType="separate"/>
      </w:r>
      <w:r w:rsidR="006B4F3C">
        <w:rPr>
          <w:noProof/>
        </w:rPr>
        <w:t>9</w:t>
      </w:r>
      <w:r>
        <w:rPr>
          <w:noProof/>
        </w:rPr>
        <w:fldChar w:fldCharType="end"/>
      </w:r>
    </w:p>
    <w:p w14:paraId="777090C1" w14:textId="77777777" w:rsidR="003A74F3" w:rsidRDefault="003A74F3">
      <w:pPr>
        <w:pStyle w:val="TOC2"/>
        <w:tabs>
          <w:tab w:val="left" w:pos="880"/>
          <w:tab w:val="right" w:leader="dot" w:pos="9016"/>
        </w:tabs>
        <w:rPr>
          <w:rFonts w:asciiTheme="minorHAnsi" w:eastAsiaTheme="minorEastAsia" w:hAnsiTheme="minorHAnsi" w:cstheme="minorBidi"/>
          <w:noProof/>
          <w:szCs w:val="22"/>
          <w:lang w:eastAsia="en-GB"/>
        </w:rPr>
      </w:pPr>
      <w:r>
        <w:rPr>
          <w:noProof/>
        </w:rPr>
        <w:t>4.1</w:t>
      </w:r>
      <w:r>
        <w:rPr>
          <w:rFonts w:asciiTheme="minorHAnsi" w:eastAsiaTheme="minorEastAsia" w:hAnsiTheme="minorHAnsi" w:cstheme="minorBidi"/>
          <w:noProof/>
          <w:szCs w:val="22"/>
          <w:lang w:eastAsia="en-GB"/>
        </w:rPr>
        <w:tab/>
      </w:r>
      <w:r>
        <w:rPr>
          <w:noProof/>
        </w:rPr>
        <w:t>Eligibility of fishery products to enter further Chains of Custody</w:t>
      </w:r>
      <w:r>
        <w:rPr>
          <w:noProof/>
        </w:rPr>
        <w:tab/>
      </w:r>
      <w:r>
        <w:rPr>
          <w:noProof/>
        </w:rPr>
        <w:fldChar w:fldCharType="begin"/>
      </w:r>
      <w:r>
        <w:rPr>
          <w:noProof/>
        </w:rPr>
        <w:instrText xml:space="preserve"> PAGEREF _Toc469259583 \h </w:instrText>
      </w:r>
      <w:r>
        <w:rPr>
          <w:noProof/>
        </w:rPr>
      </w:r>
      <w:r>
        <w:rPr>
          <w:noProof/>
        </w:rPr>
        <w:fldChar w:fldCharType="separate"/>
      </w:r>
      <w:r w:rsidR="006B4F3C">
        <w:rPr>
          <w:noProof/>
        </w:rPr>
        <w:t>9</w:t>
      </w:r>
      <w:r>
        <w:rPr>
          <w:noProof/>
        </w:rPr>
        <w:fldChar w:fldCharType="end"/>
      </w:r>
    </w:p>
    <w:p w14:paraId="346E3293" w14:textId="77777777" w:rsidR="003A74F3" w:rsidRDefault="003A74F3">
      <w:pPr>
        <w:pStyle w:val="TOC1"/>
        <w:tabs>
          <w:tab w:val="left" w:pos="440"/>
          <w:tab w:val="right" w:leader="dot" w:pos="9016"/>
        </w:tabs>
        <w:rPr>
          <w:rFonts w:asciiTheme="minorHAnsi" w:eastAsiaTheme="minorEastAsia" w:hAnsiTheme="minorHAnsi" w:cstheme="minorBidi"/>
          <w:noProof/>
          <w:szCs w:val="22"/>
          <w:lang w:eastAsia="en-GB"/>
        </w:rPr>
      </w:pPr>
      <w:r>
        <w:rPr>
          <w:noProof/>
        </w:rPr>
        <w:t>5</w:t>
      </w:r>
      <w:r>
        <w:rPr>
          <w:rFonts w:asciiTheme="minorHAnsi" w:eastAsiaTheme="minorEastAsia" w:hAnsiTheme="minorHAnsi" w:cstheme="minorBidi"/>
          <w:noProof/>
          <w:szCs w:val="22"/>
          <w:lang w:eastAsia="en-GB"/>
        </w:rPr>
        <w:tab/>
      </w:r>
      <w:r w:rsidRPr="00936E53">
        <w:rPr>
          <w:rFonts w:eastAsia="Calibri"/>
          <w:noProof/>
        </w:rPr>
        <w:t>Preliminary evaluation of the fishery</w:t>
      </w:r>
      <w:r>
        <w:rPr>
          <w:noProof/>
        </w:rPr>
        <w:tab/>
      </w:r>
      <w:r>
        <w:rPr>
          <w:noProof/>
        </w:rPr>
        <w:fldChar w:fldCharType="begin"/>
      </w:r>
      <w:r>
        <w:rPr>
          <w:noProof/>
        </w:rPr>
        <w:instrText xml:space="preserve"> PAGEREF _Toc469259584 \h </w:instrText>
      </w:r>
      <w:r>
        <w:rPr>
          <w:noProof/>
        </w:rPr>
      </w:r>
      <w:r>
        <w:rPr>
          <w:noProof/>
        </w:rPr>
        <w:fldChar w:fldCharType="separate"/>
      </w:r>
      <w:r w:rsidR="006B4F3C">
        <w:rPr>
          <w:noProof/>
        </w:rPr>
        <w:t>10</w:t>
      </w:r>
      <w:r>
        <w:rPr>
          <w:noProof/>
        </w:rPr>
        <w:fldChar w:fldCharType="end"/>
      </w:r>
    </w:p>
    <w:p w14:paraId="029711FD" w14:textId="77777777" w:rsidR="003A74F3" w:rsidRDefault="003A74F3">
      <w:pPr>
        <w:pStyle w:val="TOC2"/>
        <w:tabs>
          <w:tab w:val="left" w:pos="880"/>
          <w:tab w:val="right" w:leader="dot" w:pos="9016"/>
        </w:tabs>
        <w:rPr>
          <w:rFonts w:asciiTheme="minorHAnsi" w:eastAsiaTheme="minorEastAsia" w:hAnsiTheme="minorHAnsi" w:cstheme="minorBidi"/>
          <w:noProof/>
          <w:szCs w:val="22"/>
          <w:lang w:eastAsia="en-GB"/>
        </w:rPr>
      </w:pPr>
      <w:r>
        <w:rPr>
          <w:noProof/>
          <w:lang w:eastAsia="en-GB"/>
        </w:rPr>
        <w:t>5.1</w:t>
      </w:r>
      <w:r>
        <w:rPr>
          <w:rFonts w:asciiTheme="minorHAnsi" w:eastAsiaTheme="minorEastAsia" w:hAnsiTheme="minorHAnsi" w:cstheme="minorBidi"/>
          <w:noProof/>
          <w:szCs w:val="22"/>
          <w:lang w:eastAsia="en-GB"/>
        </w:rPr>
        <w:tab/>
      </w:r>
      <w:r>
        <w:rPr>
          <w:noProof/>
          <w:lang w:eastAsia="en-GB"/>
        </w:rPr>
        <w:t>Key findings from the pre-assessment</w:t>
      </w:r>
      <w:r>
        <w:rPr>
          <w:noProof/>
        </w:rPr>
        <w:tab/>
      </w:r>
      <w:r>
        <w:rPr>
          <w:noProof/>
        </w:rPr>
        <w:fldChar w:fldCharType="begin"/>
      </w:r>
      <w:r>
        <w:rPr>
          <w:noProof/>
        </w:rPr>
        <w:instrText xml:space="preserve"> PAGEREF _Toc469259585 \h </w:instrText>
      </w:r>
      <w:r>
        <w:rPr>
          <w:noProof/>
        </w:rPr>
      </w:r>
      <w:r>
        <w:rPr>
          <w:noProof/>
        </w:rPr>
        <w:fldChar w:fldCharType="separate"/>
      </w:r>
      <w:r w:rsidR="006B4F3C">
        <w:rPr>
          <w:noProof/>
        </w:rPr>
        <w:t>11</w:t>
      </w:r>
      <w:r>
        <w:rPr>
          <w:noProof/>
        </w:rPr>
        <w:fldChar w:fldCharType="end"/>
      </w:r>
    </w:p>
    <w:p w14:paraId="7899CF8E" w14:textId="77777777" w:rsidR="003A74F3" w:rsidRDefault="003A74F3">
      <w:pPr>
        <w:pStyle w:val="TOC2"/>
        <w:tabs>
          <w:tab w:val="left" w:pos="880"/>
          <w:tab w:val="right" w:leader="dot" w:pos="9016"/>
        </w:tabs>
        <w:rPr>
          <w:rFonts w:asciiTheme="minorHAnsi" w:eastAsiaTheme="minorEastAsia" w:hAnsiTheme="minorHAnsi" w:cstheme="minorBidi"/>
          <w:noProof/>
          <w:szCs w:val="22"/>
          <w:lang w:eastAsia="en-GB"/>
        </w:rPr>
      </w:pPr>
      <w:r>
        <w:rPr>
          <w:noProof/>
        </w:rPr>
        <w:t>5.2</w:t>
      </w:r>
      <w:r>
        <w:rPr>
          <w:rFonts w:asciiTheme="minorHAnsi" w:eastAsiaTheme="minorEastAsia" w:hAnsiTheme="minorHAnsi" w:cstheme="minorBidi"/>
          <w:noProof/>
          <w:szCs w:val="22"/>
          <w:lang w:eastAsia="en-GB"/>
        </w:rPr>
        <w:tab/>
      </w:r>
      <w:r>
        <w:rPr>
          <w:noProof/>
        </w:rPr>
        <w:t>Expectations regarding use of the Risk-Based Framework (RBF)</w:t>
      </w:r>
      <w:r>
        <w:rPr>
          <w:noProof/>
        </w:rPr>
        <w:tab/>
      </w:r>
      <w:r>
        <w:rPr>
          <w:noProof/>
        </w:rPr>
        <w:fldChar w:fldCharType="begin"/>
      </w:r>
      <w:r>
        <w:rPr>
          <w:noProof/>
        </w:rPr>
        <w:instrText xml:space="preserve"> PAGEREF _Toc469259586 \h </w:instrText>
      </w:r>
      <w:r>
        <w:rPr>
          <w:noProof/>
        </w:rPr>
      </w:r>
      <w:r>
        <w:rPr>
          <w:noProof/>
        </w:rPr>
        <w:fldChar w:fldCharType="separate"/>
      </w:r>
      <w:r w:rsidR="006B4F3C">
        <w:rPr>
          <w:noProof/>
        </w:rPr>
        <w:t>11</w:t>
      </w:r>
      <w:r>
        <w:rPr>
          <w:noProof/>
        </w:rPr>
        <w:fldChar w:fldCharType="end"/>
      </w:r>
    </w:p>
    <w:p w14:paraId="3FBC60B7" w14:textId="77777777" w:rsidR="003A74F3" w:rsidRDefault="003A74F3">
      <w:pPr>
        <w:pStyle w:val="TOC1"/>
        <w:tabs>
          <w:tab w:val="right" w:leader="dot" w:pos="9016"/>
        </w:tabs>
        <w:rPr>
          <w:rFonts w:asciiTheme="minorHAnsi" w:eastAsiaTheme="minorEastAsia" w:hAnsiTheme="minorHAnsi" w:cstheme="minorBidi"/>
          <w:noProof/>
          <w:szCs w:val="22"/>
          <w:lang w:eastAsia="en-GB"/>
        </w:rPr>
      </w:pPr>
      <w:r>
        <w:rPr>
          <w:noProof/>
        </w:rPr>
        <w:t>Appendix 1 – Pre-assessment Scoring Sheets</w:t>
      </w:r>
      <w:r>
        <w:rPr>
          <w:noProof/>
        </w:rPr>
        <w:tab/>
      </w:r>
      <w:r>
        <w:rPr>
          <w:noProof/>
        </w:rPr>
        <w:fldChar w:fldCharType="begin"/>
      </w:r>
      <w:r>
        <w:rPr>
          <w:noProof/>
        </w:rPr>
        <w:instrText xml:space="preserve"> PAGEREF _Toc469259587 \h </w:instrText>
      </w:r>
      <w:r>
        <w:rPr>
          <w:noProof/>
        </w:rPr>
      </w:r>
      <w:r>
        <w:rPr>
          <w:noProof/>
        </w:rPr>
        <w:fldChar w:fldCharType="separate"/>
      </w:r>
      <w:r w:rsidR="006B4F3C">
        <w:rPr>
          <w:noProof/>
        </w:rPr>
        <w:t>12</w:t>
      </w:r>
      <w:r>
        <w:rPr>
          <w:noProof/>
        </w:rPr>
        <w:fldChar w:fldCharType="end"/>
      </w:r>
    </w:p>
    <w:p w14:paraId="38D72D10" w14:textId="77777777" w:rsidR="003A74F3" w:rsidRDefault="003A74F3">
      <w:pPr>
        <w:pStyle w:val="TOC1"/>
        <w:tabs>
          <w:tab w:val="right" w:leader="dot" w:pos="9016"/>
        </w:tabs>
        <w:rPr>
          <w:rFonts w:asciiTheme="minorHAnsi" w:eastAsiaTheme="minorEastAsia" w:hAnsiTheme="minorHAnsi" w:cstheme="minorBidi"/>
          <w:noProof/>
          <w:szCs w:val="22"/>
          <w:lang w:eastAsia="en-GB"/>
        </w:rPr>
      </w:pPr>
      <w:r w:rsidRPr="00936E53">
        <w:rPr>
          <w:rFonts w:eastAsia="Calibri"/>
          <w:noProof/>
        </w:rPr>
        <w:t>Appendix 2 – References</w:t>
      </w:r>
      <w:r>
        <w:rPr>
          <w:noProof/>
        </w:rPr>
        <w:tab/>
      </w:r>
      <w:r>
        <w:rPr>
          <w:noProof/>
        </w:rPr>
        <w:fldChar w:fldCharType="begin"/>
      </w:r>
      <w:r>
        <w:rPr>
          <w:noProof/>
        </w:rPr>
        <w:instrText xml:space="preserve"> PAGEREF _Toc469259588 \h </w:instrText>
      </w:r>
      <w:r>
        <w:rPr>
          <w:noProof/>
        </w:rPr>
      </w:r>
      <w:r>
        <w:rPr>
          <w:noProof/>
        </w:rPr>
        <w:fldChar w:fldCharType="separate"/>
      </w:r>
      <w:r w:rsidR="006B4F3C">
        <w:rPr>
          <w:noProof/>
        </w:rPr>
        <w:t>27</w:t>
      </w:r>
      <w:r>
        <w:rPr>
          <w:noProof/>
        </w:rPr>
        <w:fldChar w:fldCharType="end"/>
      </w:r>
    </w:p>
    <w:p w14:paraId="31E89DD3" w14:textId="77777777" w:rsidR="003A74F3" w:rsidRDefault="003A74F3">
      <w:pPr>
        <w:pStyle w:val="TOC1"/>
        <w:tabs>
          <w:tab w:val="right" w:leader="dot" w:pos="9016"/>
        </w:tabs>
        <w:rPr>
          <w:rFonts w:asciiTheme="minorHAnsi" w:eastAsiaTheme="minorEastAsia" w:hAnsiTheme="minorHAnsi" w:cstheme="minorBidi"/>
          <w:noProof/>
          <w:szCs w:val="22"/>
          <w:lang w:eastAsia="en-GB"/>
        </w:rPr>
      </w:pPr>
      <w:r>
        <w:rPr>
          <w:noProof/>
        </w:rPr>
        <w:t>Appendix 3 – Graphics</w:t>
      </w:r>
      <w:r>
        <w:rPr>
          <w:noProof/>
        </w:rPr>
        <w:tab/>
      </w:r>
      <w:r>
        <w:rPr>
          <w:noProof/>
        </w:rPr>
        <w:fldChar w:fldCharType="begin"/>
      </w:r>
      <w:r>
        <w:rPr>
          <w:noProof/>
        </w:rPr>
        <w:instrText xml:space="preserve"> PAGEREF _Toc469259589 \h </w:instrText>
      </w:r>
      <w:r>
        <w:rPr>
          <w:noProof/>
        </w:rPr>
      </w:r>
      <w:r>
        <w:rPr>
          <w:noProof/>
        </w:rPr>
        <w:fldChar w:fldCharType="separate"/>
      </w:r>
      <w:r w:rsidR="006B4F3C">
        <w:rPr>
          <w:noProof/>
        </w:rPr>
        <w:t>29</w:t>
      </w:r>
      <w:r>
        <w:rPr>
          <w:noProof/>
        </w:rPr>
        <w:fldChar w:fldCharType="end"/>
      </w:r>
    </w:p>
    <w:p w14:paraId="47C66CFA" w14:textId="535D0B54" w:rsidR="00D71900" w:rsidRPr="005C0C94" w:rsidRDefault="00D71900" w:rsidP="00A123D1">
      <w:r w:rsidRPr="005C0C94">
        <w:fldChar w:fldCharType="end"/>
      </w:r>
    </w:p>
    <w:p w14:paraId="224F932E" w14:textId="77777777" w:rsidR="00936B8E" w:rsidRPr="00F909EF" w:rsidRDefault="00936B8E" w:rsidP="0094023F">
      <w:pPr>
        <w:pStyle w:val="Non-indexedHeading"/>
      </w:pPr>
      <w:bookmarkStart w:id="4" w:name="_Toc372551810"/>
      <w:bookmarkStart w:id="5" w:name="_Toc469259564"/>
      <w:r w:rsidRPr="00F909EF">
        <w:lastRenderedPageBreak/>
        <w:t>Glossary</w:t>
      </w:r>
      <w:bookmarkEnd w:id="4"/>
      <w:bookmarkEnd w:id="5"/>
    </w:p>
    <w:p w14:paraId="6E0AA860" w14:textId="01C82457" w:rsidR="00C82047" w:rsidRPr="00F909EF" w:rsidRDefault="00C82047" w:rsidP="003A74F3">
      <w:pPr>
        <w:spacing w:before="60" w:after="60"/>
      </w:pPr>
      <w:r w:rsidRPr="00F909EF">
        <w:t>CFP</w:t>
      </w:r>
      <w:r w:rsidRPr="00F909EF">
        <w:tab/>
      </w:r>
      <w:r w:rsidRPr="00F909EF">
        <w:tab/>
        <w:t>Common Fisheries Policy</w:t>
      </w:r>
    </w:p>
    <w:p w14:paraId="6C84646A" w14:textId="29EA53ED" w:rsidR="001A108D" w:rsidRPr="00F909EF" w:rsidRDefault="001A108D" w:rsidP="003A74F3">
      <w:pPr>
        <w:spacing w:before="60" w:after="60"/>
      </w:pPr>
      <w:r w:rsidRPr="00F909EF">
        <w:t>CL</w:t>
      </w:r>
      <w:r w:rsidRPr="00F909EF">
        <w:tab/>
      </w:r>
      <w:r w:rsidRPr="00F909EF">
        <w:tab/>
        <w:t>Carapace Length</w:t>
      </w:r>
    </w:p>
    <w:p w14:paraId="0E6F5931" w14:textId="77777777" w:rsidR="00D50846" w:rsidRPr="00F909EF" w:rsidRDefault="00D50846" w:rsidP="003A74F3">
      <w:pPr>
        <w:pStyle w:val="NoSpacing"/>
        <w:spacing w:before="60" w:after="60"/>
        <w:rPr>
          <w:rFonts w:asciiTheme="majorHAnsi" w:hAnsiTheme="majorHAnsi"/>
          <w:lang w:val="en-GB"/>
        </w:rPr>
      </w:pPr>
      <w:r w:rsidRPr="00F909EF">
        <w:rPr>
          <w:rFonts w:asciiTheme="majorHAnsi" w:hAnsiTheme="majorHAnsi"/>
          <w:lang w:val="en-GB"/>
        </w:rPr>
        <w:t>DCF</w:t>
      </w:r>
      <w:r w:rsidRPr="00F909EF">
        <w:rPr>
          <w:rFonts w:asciiTheme="majorHAnsi" w:hAnsiTheme="majorHAnsi"/>
          <w:lang w:val="en-GB"/>
        </w:rPr>
        <w:tab/>
      </w:r>
      <w:r w:rsidRPr="00F909EF">
        <w:rPr>
          <w:rFonts w:asciiTheme="majorHAnsi" w:hAnsiTheme="majorHAnsi"/>
          <w:lang w:val="en-GB"/>
        </w:rPr>
        <w:tab/>
        <w:t>Data Collection Framework</w:t>
      </w:r>
    </w:p>
    <w:p w14:paraId="59A58CAB" w14:textId="54B9915E" w:rsidR="00C82047" w:rsidRPr="00F909EF" w:rsidRDefault="00C82047" w:rsidP="003A74F3">
      <w:pPr>
        <w:pStyle w:val="NoSpacing"/>
        <w:spacing w:before="60" w:after="60"/>
        <w:rPr>
          <w:rFonts w:asciiTheme="majorHAnsi" w:hAnsiTheme="majorHAnsi"/>
          <w:lang w:val="en-GB"/>
        </w:rPr>
      </w:pPr>
      <w:r w:rsidRPr="00F909EF">
        <w:rPr>
          <w:rFonts w:asciiTheme="majorHAnsi" w:hAnsiTheme="majorHAnsi"/>
          <w:lang w:val="en-GB"/>
        </w:rPr>
        <w:t>Defra</w:t>
      </w:r>
      <w:r w:rsidRPr="00F909EF">
        <w:rPr>
          <w:rFonts w:asciiTheme="majorHAnsi" w:hAnsiTheme="majorHAnsi"/>
          <w:lang w:val="en-GB"/>
        </w:rPr>
        <w:tab/>
      </w:r>
      <w:r w:rsidRPr="00F909EF">
        <w:rPr>
          <w:rFonts w:asciiTheme="majorHAnsi" w:hAnsiTheme="majorHAnsi"/>
          <w:lang w:val="en-GB"/>
        </w:rPr>
        <w:tab/>
        <w:t>Department of the Environment and Rural Affairs</w:t>
      </w:r>
    </w:p>
    <w:p w14:paraId="44DCC2DC" w14:textId="08FA168F" w:rsidR="00F909EF" w:rsidRDefault="00F909EF" w:rsidP="003A74F3">
      <w:pPr>
        <w:pStyle w:val="NoSpacing"/>
        <w:spacing w:before="60" w:after="60"/>
        <w:rPr>
          <w:rFonts w:asciiTheme="majorHAnsi" w:hAnsiTheme="majorHAnsi"/>
          <w:lang w:val="en-GB"/>
        </w:rPr>
      </w:pPr>
      <w:r>
        <w:rPr>
          <w:rFonts w:asciiTheme="majorHAnsi" w:hAnsiTheme="majorHAnsi"/>
          <w:lang w:val="en-GB"/>
        </w:rPr>
        <w:t>EMS</w:t>
      </w:r>
      <w:r>
        <w:rPr>
          <w:rFonts w:asciiTheme="majorHAnsi" w:hAnsiTheme="majorHAnsi"/>
          <w:lang w:val="en-GB"/>
        </w:rPr>
        <w:tab/>
      </w:r>
      <w:r>
        <w:rPr>
          <w:rFonts w:asciiTheme="majorHAnsi" w:hAnsiTheme="majorHAnsi"/>
          <w:lang w:val="en-GB"/>
        </w:rPr>
        <w:tab/>
        <w:t>European Marine Sites</w:t>
      </w:r>
    </w:p>
    <w:p w14:paraId="43939A81" w14:textId="642C5A98" w:rsidR="001A108D" w:rsidRPr="00F909EF" w:rsidRDefault="001A108D" w:rsidP="003A74F3">
      <w:pPr>
        <w:pStyle w:val="NoSpacing"/>
        <w:spacing w:before="60" w:after="60"/>
        <w:rPr>
          <w:rFonts w:asciiTheme="majorHAnsi" w:hAnsiTheme="majorHAnsi"/>
          <w:lang w:val="en-GB"/>
        </w:rPr>
      </w:pPr>
      <w:r w:rsidRPr="00F909EF">
        <w:rPr>
          <w:rFonts w:asciiTheme="majorHAnsi" w:hAnsiTheme="majorHAnsi"/>
          <w:lang w:val="en-GB"/>
        </w:rPr>
        <w:t>ETP</w:t>
      </w:r>
      <w:r w:rsidRPr="00F909EF">
        <w:rPr>
          <w:rFonts w:asciiTheme="majorHAnsi" w:hAnsiTheme="majorHAnsi"/>
          <w:lang w:val="en-GB"/>
        </w:rPr>
        <w:tab/>
      </w:r>
      <w:r w:rsidRPr="00F909EF">
        <w:rPr>
          <w:rFonts w:asciiTheme="majorHAnsi" w:hAnsiTheme="majorHAnsi"/>
          <w:lang w:val="en-GB"/>
        </w:rPr>
        <w:tab/>
        <w:t>Endangered, Threatened &amp; Protected</w:t>
      </w:r>
    </w:p>
    <w:p w14:paraId="60BD545C" w14:textId="77777777" w:rsidR="00D50846" w:rsidRPr="00F909EF" w:rsidRDefault="00D50846" w:rsidP="003A74F3">
      <w:pPr>
        <w:pStyle w:val="NoSpacing"/>
        <w:spacing w:before="60" w:after="60"/>
        <w:rPr>
          <w:rFonts w:asciiTheme="majorHAnsi" w:hAnsiTheme="majorHAnsi"/>
          <w:lang w:val="en-GB"/>
        </w:rPr>
      </w:pPr>
      <w:r w:rsidRPr="00F909EF">
        <w:rPr>
          <w:rFonts w:asciiTheme="majorHAnsi" w:hAnsiTheme="majorHAnsi"/>
          <w:lang w:val="en-GB"/>
        </w:rPr>
        <w:t>EU</w:t>
      </w:r>
      <w:r w:rsidRPr="00F909EF">
        <w:rPr>
          <w:rFonts w:asciiTheme="majorHAnsi" w:hAnsiTheme="majorHAnsi"/>
          <w:lang w:val="en-GB"/>
        </w:rPr>
        <w:tab/>
      </w:r>
      <w:r w:rsidRPr="00F909EF">
        <w:rPr>
          <w:rFonts w:asciiTheme="majorHAnsi" w:hAnsiTheme="majorHAnsi"/>
          <w:lang w:val="en-GB"/>
        </w:rPr>
        <w:tab/>
        <w:t>European Union</w:t>
      </w:r>
    </w:p>
    <w:p w14:paraId="54B905C9" w14:textId="591FD28D" w:rsidR="001A108D" w:rsidRPr="00F909EF" w:rsidRDefault="00D50846" w:rsidP="003A74F3">
      <w:pPr>
        <w:pStyle w:val="NoSpacing"/>
        <w:spacing w:before="60" w:after="60"/>
        <w:rPr>
          <w:rFonts w:asciiTheme="majorHAnsi" w:hAnsiTheme="majorHAnsi"/>
          <w:lang w:val="en-GB"/>
        </w:rPr>
      </w:pPr>
      <w:r w:rsidRPr="00F909EF">
        <w:rPr>
          <w:rFonts w:asciiTheme="majorHAnsi" w:hAnsiTheme="majorHAnsi"/>
          <w:lang w:val="en-GB"/>
        </w:rPr>
        <w:t>EC</w:t>
      </w:r>
      <w:r w:rsidRPr="00F909EF">
        <w:rPr>
          <w:rFonts w:asciiTheme="majorHAnsi" w:hAnsiTheme="majorHAnsi"/>
          <w:lang w:val="en-GB"/>
        </w:rPr>
        <w:tab/>
      </w:r>
      <w:r w:rsidRPr="00F909EF">
        <w:rPr>
          <w:rFonts w:asciiTheme="majorHAnsi" w:hAnsiTheme="majorHAnsi"/>
          <w:lang w:val="en-GB"/>
        </w:rPr>
        <w:tab/>
        <w:t>European Commission</w:t>
      </w:r>
    </w:p>
    <w:p w14:paraId="54D6CB01" w14:textId="77777777" w:rsidR="00D50846" w:rsidRPr="00F909EF" w:rsidRDefault="00D50846" w:rsidP="003A74F3">
      <w:pPr>
        <w:pStyle w:val="NoSpacing"/>
        <w:spacing w:before="60" w:after="60"/>
        <w:rPr>
          <w:rFonts w:asciiTheme="majorHAnsi" w:hAnsiTheme="majorHAnsi"/>
          <w:lang w:val="en-GB"/>
        </w:rPr>
      </w:pPr>
      <w:r w:rsidRPr="00F909EF">
        <w:rPr>
          <w:rFonts w:asciiTheme="majorHAnsi" w:hAnsiTheme="majorHAnsi"/>
          <w:lang w:val="en-GB"/>
        </w:rPr>
        <w:t>FAO</w:t>
      </w:r>
      <w:r w:rsidRPr="00F909EF">
        <w:rPr>
          <w:rFonts w:asciiTheme="majorHAnsi" w:hAnsiTheme="majorHAnsi"/>
          <w:lang w:val="en-GB"/>
        </w:rPr>
        <w:tab/>
      </w:r>
      <w:r w:rsidRPr="00F909EF">
        <w:rPr>
          <w:rFonts w:asciiTheme="majorHAnsi" w:hAnsiTheme="majorHAnsi"/>
          <w:lang w:val="en-GB"/>
        </w:rPr>
        <w:tab/>
        <w:t>Food and Agriculture Organisation of the United Nations</w:t>
      </w:r>
    </w:p>
    <w:p w14:paraId="34DD3F98" w14:textId="6A264EFE" w:rsidR="001A108D" w:rsidRPr="00F909EF" w:rsidRDefault="001A108D" w:rsidP="003A74F3">
      <w:pPr>
        <w:pStyle w:val="NoSpacing"/>
        <w:spacing w:before="60" w:after="60"/>
        <w:rPr>
          <w:rFonts w:asciiTheme="majorHAnsi" w:hAnsiTheme="majorHAnsi"/>
          <w:lang w:val="en-GB"/>
        </w:rPr>
      </w:pPr>
      <w:r w:rsidRPr="00F909EF">
        <w:rPr>
          <w:rFonts w:asciiTheme="majorHAnsi" w:hAnsiTheme="majorHAnsi"/>
          <w:lang w:val="en-GB"/>
        </w:rPr>
        <w:t>FCR</w:t>
      </w:r>
      <w:r w:rsidRPr="00F909EF">
        <w:rPr>
          <w:rFonts w:asciiTheme="majorHAnsi" w:hAnsiTheme="majorHAnsi"/>
          <w:lang w:val="en-GB"/>
        </w:rPr>
        <w:tab/>
      </w:r>
      <w:r w:rsidRPr="00F909EF">
        <w:rPr>
          <w:rFonts w:asciiTheme="majorHAnsi" w:hAnsiTheme="majorHAnsi"/>
          <w:lang w:val="en-GB"/>
        </w:rPr>
        <w:tab/>
        <w:t>Fisheries Certification Requirements</w:t>
      </w:r>
    </w:p>
    <w:p w14:paraId="48F724E0" w14:textId="191C6846" w:rsidR="00C82047" w:rsidRPr="00F909EF" w:rsidRDefault="00C82047" w:rsidP="003A74F3">
      <w:pPr>
        <w:pStyle w:val="NoSpacing"/>
        <w:spacing w:before="60" w:after="60"/>
        <w:rPr>
          <w:rFonts w:asciiTheme="majorHAnsi" w:hAnsiTheme="majorHAnsi"/>
          <w:lang w:val="en-GB"/>
        </w:rPr>
      </w:pPr>
      <w:r w:rsidRPr="00F909EF">
        <w:rPr>
          <w:rFonts w:asciiTheme="majorHAnsi" w:hAnsiTheme="majorHAnsi"/>
          <w:lang w:val="en-GB"/>
        </w:rPr>
        <w:t>FIP</w:t>
      </w:r>
      <w:r w:rsidRPr="00F909EF">
        <w:rPr>
          <w:rFonts w:asciiTheme="majorHAnsi" w:hAnsiTheme="majorHAnsi"/>
          <w:lang w:val="en-GB"/>
        </w:rPr>
        <w:tab/>
      </w:r>
      <w:r w:rsidRPr="00F909EF">
        <w:rPr>
          <w:rFonts w:asciiTheme="majorHAnsi" w:hAnsiTheme="majorHAnsi"/>
          <w:lang w:val="en-GB"/>
        </w:rPr>
        <w:tab/>
        <w:t>Fishery Improvement Project</w:t>
      </w:r>
    </w:p>
    <w:p w14:paraId="6EE479CB" w14:textId="10B89BB5" w:rsidR="00F909EF" w:rsidRDefault="00F909EF" w:rsidP="003A74F3">
      <w:pPr>
        <w:pStyle w:val="NoSpacing"/>
        <w:spacing w:before="60" w:after="60"/>
        <w:rPr>
          <w:rFonts w:asciiTheme="majorHAnsi" w:hAnsiTheme="majorHAnsi"/>
          <w:lang w:val="en-GB"/>
        </w:rPr>
      </w:pPr>
      <w:r>
        <w:rPr>
          <w:rFonts w:asciiTheme="majorHAnsi" w:hAnsiTheme="majorHAnsi"/>
          <w:lang w:val="en-GB"/>
        </w:rPr>
        <w:t>GPRS</w:t>
      </w:r>
      <w:r>
        <w:rPr>
          <w:rFonts w:asciiTheme="majorHAnsi" w:hAnsiTheme="majorHAnsi"/>
          <w:lang w:val="en-GB"/>
        </w:rPr>
        <w:tab/>
      </w:r>
      <w:r>
        <w:rPr>
          <w:rFonts w:asciiTheme="majorHAnsi" w:hAnsiTheme="majorHAnsi"/>
          <w:lang w:val="en-GB"/>
        </w:rPr>
        <w:tab/>
      </w:r>
      <w:r>
        <w:rPr>
          <w:rStyle w:val="tgc"/>
        </w:rPr>
        <w:t xml:space="preserve">General </w:t>
      </w:r>
      <w:proofErr w:type="spellStart"/>
      <w:r>
        <w:rPr>
          <w:rStyle w:val="tgc"/>
        </w:rPr>
        <w:t>Packet</w:t>
      </w:r>
      <w:proofErr w:type="spellEnd"/>
      <w:r>
        <w:rPr>
          <w:rStyle w:val="tgc"/>
        </w:rPr>
        <w:t xml:space="preserve"> Radio Service (mobile </w:t>
      </w:r>
      <w:proofErr w:type="spellStart"/>
      <w:r>
        <w:rPr>
          <w:rStyle w:val="tgc"/>
        </w:rPr>
        <w:t>telephony</w:t>
      </w:r>
      <w:proofErr w:type="spellEnd"/>
      <w:r>
        <w:rPr>
          <w:rStyle w:val="tgc"/>
        </w:rPr>
        <w:t>)</w:t>
      </w:r>
    </w:p>
    <w:p w14:paraId="71D904BE" w14:textId="4E2145E6" w:rsidR="00C82047" w:rsidRPr="00F909EF" w:rsidRDefault="00C82047" w:rsidP="003A74F3">
      <w:pPr>
        <w:pStyle w:val="NoSpacing"/>
        <w:spacing w:before="60" w:after="60"/>
        <w:rPr>
          <w:rFonts w:asciiTheme="majorHAnsi" w:hAnsiTheme="majorHAnsi"/>
          <w:lang w:val="en-GB"/>
        </w:rPr>
      </w:pPr>
      <w:r w:rsidRPr="00F909EF">
        <w:rPr>
          <w:rFonts w:asciiTheme="majorHAnsi" w:hAnsiTheme="majorHAnsi"/>
          <w:lang w:val="en-GB"/>
        </w:rPr>
        <w:t>ICES</w:t>
      </w:r>
      <w:r w:rsidRPr="00F909EF">
        <w:rPr>
          <w:rFonts w:asciiTheme="majorHAnsi" w:hAnsiTheme="majorHAnsi"/>
          <w:lang w:val="en-GB"/>
        </w:rPr>
        <w:tab/>
      </w:r>
      <w:r w:rsidRPr="00F909EF">
        <w:rPr>
          <w:rFonts w:asciiTheme="majorHAnsi" w:hAnsiTheme="majorHAnsi"/>
          <w:lang w:val="en-GB"/>
        </w:rPr>
        <w:tab/>
        <w:t>International Council for the Exploration of the Sea</w:t>
      </w:r>
    </w:p>
    <w:p w14:paraId="5AB15E62" w14:textId="2D97D985" w:rsidR="00EC5D32" w:rsidRPr="00F909EF" w:rsidRDefault="00EC5D32" w:rsidP="003A74F3">
      <w:pPr>
        <w:pStyle w:val="NoSpacing"/>
        <w:spacing w:before="60" w:after="60"/>
        <w:rPr>
          <w:rFonts w:asciiTheme="majorHAnsi" w:hAnsiTheme="majorHAnsi"/>
          <w:lang w:val="en-GB"/>
        </w:rPr>
      </w:pPr>
      <w:r w:rsidRPr="00F909EF">
        <w:rPr>
          <w:rFonts w:asciiTheme="majorHAnsi" w:hAnsiTheme="majorHAnsi"/>
          <w:lang w:val="en-GB"/>
        </w:rPr>
        <w:t>IFCA</w:t>
      </w:r>
      <w:r w:rsidRPr="00F909EF">
        <w:rPr>
          <w:rFonts w:asciiTheme="majorHAnsi" w:hAnsiTheme="majorHAnsi"/>
          <w:lang w:val="en-GB"/>
        </w:rPr>
        <w:tab/>
      </w:r>
      <w:r w:rsidRPr="00F909EF">
        <w:rPr>
          <w:rFonts w:asciiTheme="majorHAnsi" w:hAnsiTheme="majorHAnsi"/>
          <w:lang w:val="en-GB"/>
        </w:rPr>
        <w:tab/>
        <w:t>Inshore Fisheries &amp; Conservation Authority</w:t>
      </w:r>
    </w:p>
    <w:p w14:paraId="238AC6A0" w14:textId="77777777" w:rsidR="00D50846" w:rsidRPr="00F909EF" w:rsidRDefault="00D50846" w:rsidP="003A74F3">
      <w:pPr>
        <w:pStyle w:val="NoSpacing"/>
        <w:spacing w:before="60" w:after="60"/>
        <w:rPr>
          <w:rFonts w:asciiTheme="majorHAnsi" w:hAnsiTheme="majorHAnsi"/>
          <w:lang w:val="en-GB"/>
        </w:rPr>
      </w:pPr>
      <w:r w:rsidRPr="00F909EF">
        <w:rPr>
          <w:rFonts w:asciiTheme="majorHAnsi" w:hAnsiTheme="majorHAnsi"/>
          <w:lang w:val="en-GB"/>
        </w:rPr>
        <w:t>JRC</w:t>
      </w:r>
      <w:r w:rsidRPr="00F909EF">
        <w:rPr>
          <w:rFonts w:asciiTheme="majorHAnsi" w:hAnsiTheme="majorHAnsi"/>
          <w:lang w:val="en-GB"/>
        </w:rPr>
        <w:tab/>
      </w:r>
      <w:r w:rsidRPr="00F909EF">
        <w:rPr>
          <w:rFonts w:asciiTheme="majorHAnsi" w:hAnsiTheme="majorHAnsi"/>
          <w:lang w:val="en-GB"/>
        </w:rPr>
        <w:tab/>
        <w:t>European Commission Joint Research Centre</w:t>
      </w:r>
    </w:p>
    <w:p w14:paraId="360F914D" w14:textId="3119AC12" w:rsidR="001A108D" w:rsidRPr="00F909EF" w:rsidRDefault="001A108D" w:rsidP="003A74F3">
      <w:pPr>
        <w:pStyle w:val="NoSpacing"/>
        <w:spacing w:before="60" w:after="60"/>
        <w:rPr>
          <w:rFonts w:asciiTheme="majorHAnsi" w:hAnsiTheme="majorHAnsi"/>
          <w:lang w:val="es-ES"/>
        </w:rPr>
      </w:pPr>
      <w:r w:rsidRPr="00F909EF">
        <w:rPr>
          <w:rFonts w:asciiTheme="majorHAnsi" w:hAnsiTheme="majorHAnsi"/>
          <w:lang w:val="es-ES"/>
        </w:rPr>
        <w:t>LTL</w:t>
      </w:r>
      <w:r w:rsidRPr="00F909EF">
        <w:rPr>
          <w:rFonts w:asciiTheme="majorHAnsi" w:hAnsiTheme="majorHAnsi"/>
          <w:lang w:val="es-ES"/>
        </w:rPr>
        <w:tab/>
      </w:r>
      <w:r w:rsidRPr="00F909EF">
        <w:rPr>
          <w:rFonts w:asciiTheme="majorHAnsi" w:hAnsiTheme="majorHAnsi"/>
          <w:lang w:val="es-ES"/>
        </w:rPr>
        <w:tab/>
      </w:r>
      <w:proofErr w:type="spellStart"/>
      <w:r w:rsidRPr="00F909EF">
        <w:rPr>
          <w:rFonts w:asciiTheme="majorHAnsi" w:hAnsiTheme="majorHAnsi"/>
          <w:lang w:val="es-ES"/>
        </w:rPr>
        <w:t>Low</w:t>
      </w:r>
      <w:proofErr w:type="spellEnd"/>
      <w:r w:rsidRPr="00F909EF">
        <w:rPr>
          <w:rFonts w:asciiTheme="majorHAnsi" w:hAnsiTheme="majorHAnsi"/>
          <w:lang w:val="es-ES"/>
        </w:rPr>
        <w:t xml:space="preserve"> </w:t>
      </w:r>
      <w:proofErr w:type="spellStart"/>
      <w:r w:rsidRPr="00F909EF">
        <w:rPr>
          <w:rFonts w:asciiTheme="majorHAnsi" w:hAnsiTheme="majorHAnsi"/>
          <w:lang w:val="es-ES"/>
        </w:rPr>
        <w:t>Trophic</w:t>
      </w:r>
      <w:proofErr w:type="spellEnd"/>
      <w:r w:rsidRPr="00F909EF">
        <w:rPr>
          <w:rFonts w:asciiTheme="majorHAnsi" w:hAnsiTheme="majorHAnsi"/>
          <w:lang w:val="es-ES"/>
        </w:rPr>
        <w:t xml:space="preserve"> </w:t>
      </w:r>
      <w:proofErr w:type="spellStart"/>
      <w:r w:rsidRPr="00F909EF">
        <w:rPr>
          <w:rFonts w:asciiTheme="majorHAnsi" w:hAnsiTheme="majorHAnsi"/>
          <w:lang w:val="es-ES"/>
        </w:rPr>
        <w:t>Level</w:t>
      </w:r>
      <w:proofErr w:type="spellEnd"/>
    </w:p>
    <w:p w14:paraId="7D4030F4" w14:textId="1F5C4106" w:rsidR="00F909EF" w:rsidRDefault="00F909EF" w:rsidP="003A74F3">
      <w:pPr>
        <w:pStyle w:val="NoSpacing"/>
        <w:spacing w:before="60" w:after="60"/>
        <w:rPr>
          <w:rFonts w:asciiTheme="majorHAnsi" w:hAnsiTheme="majorHAnsi"/>
          <w:lang w:val="en-GB"/>
        </w:rPr>
      </w:pPr>
      <w:r>
        <w:rPr>
          <w:rFonts w:asciiTheme="majorHAnsi" w:hAnsiTheme="majorHAnsi"/>
          <w:lang w:val="en-GB"/>
        </w:rPr>
        <w:t>NFFO</w:t>
      </w:r>
      <w:r>
        <w:rPr>
          <w:rFonts w:asciiTheme="majorHAnsi" w:hAnsiTheme="majorHAnsi"/>
          <w:lang w:val="en-GB"/>
        </w:rPr>
        <w:tab/>
      </w:r>
      <w:r>
        <w:rPr>
          <w:rFonts w:asciiTheme="majorHAnsi" w:hAnsiTheme="majorHAnsi"/>
          <w:lang w:val="en-GB"/>
        </w:rPr>
        <w:tab/>
        <w:t>National Federation of Fishermen’s Organisations</w:t>
      </w:r>
    </w:p>
    <w:p w14:paraId="0680939D" w14:textId="22A30C02" w:rsidR="00F909EF" w:rsidRPr="00F909EF" w:rsidRDefault="00F909EF" w:rsidP="003A74F3">
      <w:pPr>
        <w:pStyle w:val="NoSpacing"/>
        <w:spacing w:before="60" w:after="60"/>
        <w:rPr>
          <w:rFonts w:asciiTheme="majorHAnsi" w:hAnsiTheme="majorHAnsi"/>
          <w:lang w:val="en-GB"/>
        </w:rPr>
      </w:pPr>
      <w:r w:rsidRPr="00F909EF">
        <w:rPr>
          <w:rFonts w:asciiTheme="majorHAnsi" w:hAnsiTheme="majorHAnsi"/>
          <w:lang w:val="en-GB"/>
        </w:rPr>
        <w:t>MCZ</w:t>
      </w:r>
      <w:r w:rsidRPr="00F909EF">
        <w:rPr>
          <w:rFonts w:asciiTheme="majorHAnsi" w:hAnsiTheme="majorHAnsi"/>
          <w:lang w:val="en-GB"/>
        </w:rPr>
        <w:tab/>
      </w:r>
      <w:r w:rsidRPr="00F909EF">
        <w:rPr>
          <w:rFonts w:asciiTheme="majorHAnsi" w:hAnsiTheme="majorHAnsi"/>
          <w:lang w:val="en-GB"/>
        </w:rPr>
        <w:tab/>
        <w:t>Marine Conservation Zone</w:t>
      </w:r>
    </w:p>
    <w:p w14:paraId="5F48A97E" w14:textId="0DAB9321" w:rsidR="00C82047" w:rsidRPr="00F909EF" w:rsidRDefault="00C82047" w:rsidP="003A74F3">
      <w:pPr>
        <w:pStyle w:val="NoSpacing"/>
        <w:spacing w:before="60" w:after="60"/>
        <w:rPr>
          <w:rFonts w:asciiTheme="majorHAnsi" w:hAnsiTheme="majorHAnsi"/>
          <w:lang w:val="en-GB"/>
        </w:rPr>
      </w:pPr>
      <w:r w:rsidRPr="00F909EF">
        <w:rPr>
          <w:rFonts w:asciiTheme="majorHAnsi" w:hAnsiTheme="majorHAnsi"/>
          <w:lang w:val="en-GB"/>
        </w:rPr>
        <w:t>MLS</w:t>
      </w:r>
      <w:r w:rsidRPr="00F909EF">
        <w:rPr>
          <w:rFonts w:asciiTheme="majorHAnsi" w:hAnsiTheme="majorHAnsi"/>
          <w:lang w:val="en-GB"/>
        </w:rPr>
        <w:tab/>
      </w:r>
      <w:r w:rsidRPr="00F909EF">
        <w:rPr>
          <w:rFonts w:asciiTheme="majorHAnsi" w:hAnsiTheme="majorHAnsi"/>
          <w:lang w:val="en-GB"/>
        </w:rPr>
        <w:tab/>
        <w:t>Minimum Landing Size</w:t>
      </w:r>
    </w:p>
    <w:p w14:paraId="4380E263" w14:textId="019B32AD" w:rsidR="00C82047" w:rsidRPr="00F909EF" w:rsidRDefault="00C82047" w:rsidP="003A74F3">
      <w:pPr>
        <w:pStyle w:val="NoSpacing"/>
        <w:spacing w:before="60" w:after="60"/>
        <w:rPr>
          <w:rFonts w:asciiTheme="majorHAnsi" w:hAnsiTheme="majorHAnsi"/>
          <w:lang w:val="en-GB"/>
        </w:rPr>
      </w:pPr>
      <w:r w:rsidRPr="00F909EF">
        <w:rPr>
          <w:rFonts w:asciiTheme="majorHAnsi" w:hAnsiTheme="majorHAnsi"/>
          <w:lang w:val="en-GB"/>
        </w:rPr>
        <w:t>MMO</w:t>
      </w:r>
      <w:r w:rsidRPr="00F909EF">
        <w:rPr>
          <w:rFonts w:asciiTheme="majorHAnsi" w:hAnsiTheme="majorHAnsi"/>
          <w:lang w:val="en-GB"/>
        </w:rPr>
        <w:tab/>
      </w:r>
      <w:r w:rsidRPr="00F909EF">
        <w:rPr>
          <w:rFonts w:asciiTheme="majorHAnsi" w:hAnsiTheme="majorHAnsi"/>
          <w:lang w:val="en-GB"/>
        </w:rPr>
        <w:tab/>
        <w:t>Marine Management Organisation</w:t>
      </w:r>
    </w:p>
    <w:p w14:paraId="01D1D765" w14:textId="4279D112" w:rsidR="00D50846" w:rsidRPr="00F909EF" w:rsidRDefault="00D50846" w:rsidP="003A74F3">
      <w:pPr>
        <w:pStyle w:val="NoSpacing"/>
        <w:spacing w:before="60" w:after="60"/>
        <w:rPr>
          <w:rFonts w:asciiTheme="majorHAnsi" w:hAnsiTheme="majorHAnsi"/>
          <w:lang w:val="en-GB"/>
        </w:rPr>
      </w:pPr>
      <w:r w:rsidRPr="00F909EF">
        <w:rPr>
          <w:rFonts w:asciiTheme="majorHAnsi" w:hAnsiTheme="majorHAnsi"/>
          <w:lang w:val="en-GB"/>
        </w:rPr>
        <w:t>MSC</w:t>
      </w:r>
      <w:r w:rsidRPr="00F909EF">
        <w:rPr>
          <w:rFonts w:asciiTheme="majorHAnsi" w:hAnsiTheme="majorHAnsi"/>
          <w:lang w:val="en-GB"/>
        </w:rPr>
        <w:tab/>
      </w:r>
      <w:r w:rsidRPr="00F909EF">
        <w:rPr>
          <w:rFonts w:asciiTheme="majorHAnsi" w:hAnsiTheme="majorHAnsi"/>
          <w:lang w:val="en-GB"/>
        </w:rPr>
        <w:tab/>
        <w:t>Marine Stewardship Council</w:t>
      </w:r>
    </w:p>
    <w:p w14:paraId="432E9BD3" w14:textId="2128B5D2" w:rsidR="00C82047" w:rsidRPr="00F909EF" w:rsidRDefault="00C82047" w:rsidP="003A74F3">
      <w:pPr>
        <w:spacing w:before="60" w:after="60"/>
      </w:pPr>
      <w:r w:rsidRPr="00F909EF">
        <w:t>MSY</w:t>
      </w:r>
      <w:r w:rsidRPr="00F909EF">
        <w:tab/>
      </w:r>
      <w:r w:rsidRPr="00F909EF">
        <w:tab/>
        <w:t>Maximum Sustainable Yield</w:t>
      </w:r>
    </w:p>
    <w:p w14:paraId="4DE3F407" w14:textId="4D348152" w:rsidR="00D50846" w:rsidRPr="00F909EF" w:rsidRDefault="00D50846" w:rsidP="003A74F3">
      <w:pPr>
        <w:spacing w:before="60" w:after="60"/>
      </w:pPr>
      <w:r w:rsidRPr="00F909EF">
        <w:t>PI</w:t>
      </w:r>
      <w:r w:rsidRPr="00F909EF">
        <w:tab/>
      </w:r>
      <w:r w:rsidRPr="00F909EF">
        <w:tab/>
        <w:t>Performance Indicator</w:t>
      </w:r>
    </w:p>
    <w:p w14:paraId="5ED20F01" w14:textId="1538EA4A" w:rsidR="00C82047" w:rsidRPr="00F909EF" w:rsidRDefault="00C82047" w:rsidP="003A74F3">
      <w:pPr>
        <w:spacing w:before="60" w:after="60"/>
      </w:pPr>
      <w:r w:rsidRPr="00F909EF">
        <w:t>PO</w:t>
      </w:r>
      <w:r w:rsidRPr="00F909EF">
        <w:tab/>
      </w:r>
      <w:r w:rsidRPr="00F909EF">
        <w:tab/>
        <w:t>Producer Organisation</w:t>
      </w:r>
    </w:p>
    <w:p w14:paraId="193BE038" w14:textId="3B966F4E" w:rsidR="00C82047" w:rsidRPr="00F909EF" w:rsidRDefault="00C82047" w:rsidP="003A74F3">
      <w:pPr>
        <w:spacing w:before="60" w:after="60"/>
      </w:pPr>
      <w:r w:rsidRPr="00F909EF">
        <w:t>PRI</w:t>
      </w:r>
      <w:r w:rsidRPr="00F909EF">
        <w:tab/>
      </w:r>
      <w:r w:rsidRPr="00F909EF">
        <w:tab/>
        <w:t>Point at which recruitment is impaired</w:t>
      </w:r>
    </w:p>
    <w:p w14:paraId="76632BBD" w14:textId="29158AEE" w:rsidR="002A7130" w:rsidRPr="00F909EF" w:rsidRDefault="002A7130" w:rsidP="003A74F3">
      <w:pPr>
        <w:spacing w:before="60" w:after="60"/>
      </w:pPr>
      <w:r w:rsidRPr="00F909EF">
        <w:t>PUKFI</w:t>
      </w:r>
      <w:r w:rsidRPr="00F909EF">
        <w:tab/>
      </w:r>
      <w:r w:rsidRPr="00F909EF">
        <w:tab/>
        <w:t>Project UK Fisheries Improvements</w:t>
      </w:r>
    </w:p>
    <w:p w14:paraId="14FB0F35" w14:textId="72A86068" w:rsidR="006C6640" w:rsidRPr="00F909EF" w:rsidRDefault="006C6640" w:rsidP="003A74F3">
      <w:pPr>
        <w:spacing w:before="60" w:after="60"/>
      </w:pPr>
      <w:r w:rsidRPr="00F909EF">
        <w:t>RBF</w:t>
      </w:r>
      <w:r w:rsidRPr="00F909EF">
        <w:tab/>
      </w:r>
      <w:r w:rsidRPr="00F909EF">
        <w:tab/>
        <w:t>Risk Based Framework</w:t>
      </w:r>
    </w:p>
    <w:p w14:paraId="3C77D296" w14:textId="553BC4EB" w:rsidR="00F909EF" w:rsidRPr="00F909EF" w:rsidRDefault="00F909EF" w:rsidP="003A74F3">
      <w:pPr>
        <w:pStyle w:val="NoSpacing"/>
        <w:spacing w:before="60" w:after="60"/>
        <w:rPr>
          <w:rFonts w:asciiTheme="majorHAnsi" w:hAnsiTheme="majorHAnsi" w:cstheme="minorBidi"/>
          <w:color w:val="auto"/>
          <w:szCs w:val="22"/>
          <w:lang w:val="en-GB"/>
        </w:rPr>
      </w:pPr>
      <w:r w:rsidRPr="00F909EF">
        <w:rPr>
          <w:rFonts w:asciiTheme="majorHAnsi" w:hAnsiTheme="majorHAnsi" w:cstheme="minorBidi"/>
          <w:color w:val="auto"/>
          <w:szCs w:val="22"/>
          <w:lang w:val="en-GB"/>
        </w:rPr>
        <w:t>SAC</w:t>
      </w:r>
      <w:r w:rsidRPr="00F909EF">
        <w:rPr>
          <w:rFonts w:asciiTheme="majorHAnsi" w:hAnsiTheme="majorHAnsi" w:cstheme="minorBidi"/>
          <w:color w:val="auto"/>
          <w:szCs w:val="22"/>
          <w:lang w:val="en-GB"/>
        </w:rPr>
        <w:tab/>
      </w:r>
      <w:r w:rsidRPr="00F909EF">
        <w:rPr>
          <w:rFonts w:asciiTheme="majorHAnsi" w:hAnsiTheme="majorHAnsi" w:cstheme="minorBidi"/>
          <w:color w:val="auto"/>
          <w:szCs w:val="22"/>
          <w:lang w:val="en-GB"/>
        </w:rPr>
        <w:tab/>
        <w:t>Special Area of Conservation</w:t>
      </w:r>
    </w:p>
    <w:p w14:paraId="31374E09" w14:textId="026C00FC" w:rsidR="00F909EF" w:rsidRDefault="00F909EF" w:rsidP="003A74F3">
      <w:pPr>
        <w:pStyle w:val="NoSpacing"/>
        <w:spacing w:before="60" w:after="60"/>
        <w:rPr>
          <w:rFonts w:asciiTheme="majorHAnsi" w:hAnsiTheme="majorHAnsi" w:cstheme="minorBidi"/>
          <w:color w:val="auto"/>
          <w:szCs w:val="22"/>
          <w:lang w:val="en-GB"/>
        </w:rPr>
      </w:pPr>
      <w:r>
        <w:rPr>
          <w:rFonts w:asciiTheme="majorHAnsi" w:hAnsiTheme="majorHAnsi" w:cstheme="minorBidi"/>
          <w:color w:val="auto"/>
          <w:szCs w:val="22"/>
          <w:lang w:val="en-GB"/>
        </w:rPr>
        <w:t>SAGB</w:t>
      </w:r>
      <w:r>
        <w:rPr>
          <w:rFonts w:asciiTheme="majorHAnsi" w:hAnsiTheme="majorHAnsi" w:cstheme="minorBidi"/>
          <w:color w:val="auto"/>
          <w:szCs w:val="22"/>
          <w:lang w:val="en-GB"/>
        </w:rPr>
        <w:tab/>
      </w:r>
      <w:r>
        <w:rPr>
          <w:rFonts w:asciiTheme="majorHAnsi" w:hAnsiTheme="majorHAnsi" w:cstheme="minorBidi"/>
          <w:color w:val="auto"/>
          <w:szCs w:val="22"/>
          <w:lang w:val="en-GB"/>
        </w:rPr>
        <w:tab/>
        <w:t>Shellfish Association of Great Britain</w:t>
      </w:r>
    </w:p>
    <w:p w14:paraId="7C5C9AF0" w14:textId="31B9745B" w:rsidR="00D50846" w:rsidRPr="00F909EF" w:rsidRDefault="00D50846" w:rsidP="003A74F3">
      <w:pPr>
        <w:pStyle w:val="NoSpacing"/>
        <w:spacing w:before="60" w:after="60"/>
        <w:rPr>
          <w:rFonts w:asciiTheme="majorHAnsi" w:hAnsiTheme="majorHAnsi" w:cstheme="minorBidi"/>
          <w:color w:val="auto"/>
          <w:szCs w:val="22"/>
          <w:lang w:val="en-GB"/>
        </w:rPr>
      </w:pPr>
      <w:r w:rsidRPr="00F909EF">
        <w:rPr>
          <w:rFonts w:asciiTheme="majorHAnsi" w:hAnsiTheme="majorHAnsi" w:cstheme="minorBidi"/>
          <w:color w:val="auto"/>
          <w:szCs w:val="22"/>
          <w:lang w:val="en-GB"/>
        </w:rPr>
        <w:t>SG</w:t>
      </w:r>
      <w:r w:rsidRPr="00F909EF">
        <w:rPr>
          <w:rFonts w:asciiTheme="majorHAnsi" w:hAnsiTheme="majorHAnsi" w:cstheme="minorBidi"/>
          <w:color w:val="auto"/>
          <w:szCs w:val="22"/>
          <w:lang w:val="en-GB"/>
        </w:rPr>
        <w:tab/>
      </w:r>
      <w:r w:rsidRPr="00F909EF">
        <w:rPr>
          <w:rFonts w:asciiTheme="majorHAnsi" w:hAnsiTheme="majorHAnsi" w:cstheme="minorBidi"/>
          <w:color w:val="auto"/>
          <w:szCs w:val="22"/>
          <w:lang w:val="en-GB"/>
        </w:rPr>
        <w:tab/>
        <w:t>Scoring Guidepost</w:t>
      </w:r>
    </w:p>
    <w:p w14:paraId="70FE4E33" w14:textId="7BABBD0D" w:rsidR="00F909EF" w:rsidRPr="00F909EF" w:rsidRDefault="00F909EF" w:rsidP="003A74F3">
      <w:pPr>
        <w:pStyle w:val="NoSpacing"/>
        <w:spacing w:before="60" w:after="60"/>
        <w:rPr>
          <w:rFonts w:asciiTheme="majorHAnsi" w:hAnsiTheme="majorHAnsi"/>
          <w:lang w:val="en-GB"/>
        </w:rPr>
      </w:pPr>
      <w:r w:rsidRPr="00F909EF">
        <w:rPr>
          <w:rFonts w:asciiTheme="majorHAnsi" w:hAnsiTheme="majorHAnsi"/>
          <w:lang w:val="en-GB"/>
        </w:rPr>
        <w:t>SPA</w:t>
      </w:r>
      <w:r w:rsidRPr="00F909EF">
        <w:rPr>
          <w:rFonts w:asciiTheme="majorHAnsi" w:hAnsiTheme="majorHAnsi"/>
          <w:lang w:val="en-GB"/>
        </w:rPr>
        <w:tab/>
      </w:r>
      <w:r w:rsidRPr="00F909EF">
        <w:rPr>
          <w:rFonts w:asciiTheme="majorHAnsi" w:hAnsiTheme="majorHAnsi"/>
          <w:lang w:val="en-GB"/>
        </w:rPr>
        <w:tab/>
        <w:t>Special Protected Area</w:t>
      </w:r>
    </w:p>
    <w:p w14:paraId="56C7636F" w14:textId="670AEAC5" w:rsidR="00D50846" w:rsidRPr="00F909EF" w:rsidRDefault="00D50846" w:rsidP="003A74F3">
      <w:pPr>
        <w:pStyle w:val="NoSpacing"/>
        <w:spacing w:before="60" w:after="60"/>
        <w:rPr>
          <w:rFonts w:asciiTheme="majorHAnsi" w:hAnsiTheme="majorHAnsi"/>
          <w:lang w:val="en-GB"/>
        </w:rPr>
      </w:pPr>
      <w:r w:rsidRPr="00F909EF">
        <w:rPr>
          <w:rFonts w:asciiTheme="majorHAnsi" w:hAnsiTheme="majorHAnsi"/>
          <w:lang w:val="en-GB"/>
        </w:rPr>
        <w:t>STECF</w:t>
      </w:r>
      <w:r w:rsidRPr="00F909EF">
        <w:rPr>
          <w:rFonts w:asciiTheme="majorHAnsi" w:hAnsiTheme="majorHAnsi"/>
          <w:lang w:val="en-GB"/>
        </w:rPr>
        <w:tab/>
      </w:r>
      <w:r w:rsidRPr="00F909EF">
        <w:rPr>
          <w:rFonts w:asciiTheme="majorHAnsi" w:hAnsiTheme="majorHAnsi"/>
          <w:lang w:val="en-GB"/>
        </w:rPr>
        <w:tab/>
        <w:t xml:space="preserve">Scientific, Technical and Economic Committee for Fisheries </w:t>
      </w:r>
    </w:p>
    <w:p w14:paraId="408769B2" w14:textId="71265D1E" w:rsidR="006C6640" w:rsidRPr="00F909EF" w:rsidRDefault="006C6640" w:rsidP="003A74F3">
      <w:pPr>
        <w:pStyle w:val="NoSpacing"/>
        <w:spacing w:before="60" w:after="60"/>
        <w:rPr>
          <w:rFonts w:asciiTheme="majorHAnsi" w:hAnsiTheme="majorHAnsi"/>
          <w:lang w:val="en-GB"/>
        </w:rPr>
      </w:pPr>
      <w:r w:rsidRPr="00F909EF">
        <w:rPr>
          <w:rFonts w:asciiTheme="majorHAnsi" w:hAnsiTheme="majorHAnsi"/>
          <w:lang w:val="en-GB"/>
        </w:rPr>
        <w:t>TAC</w:t>
      </w:r>
      <w:r w:rsidRPr="00F909EF">
        <w:rPr>
          <w:rFonts w:asciiTheme="majorHAnsi" w:hAnsiTheme="majorHAnsi"/>
          <w:lang w:val="en-GB"/>
        </w:rPr>
        <w:tab/>
      </w:r>
      <w:r w:rsidRPr="00F909EF">
        <w:rPr>
          <w:rFonts w:asciiTheme="majorHAnsi" w:hAnsiTheme="majorHAnsi"/>
          <w:lang w:val="en-GB"/>
        </w:rPr>
        <w:tab/>
        <w:t>Total Allowable catch</w:t>
      </w:r>
    </w:p>
    <w:p w14:paraId="3A3E85D2" w14:textId="77777777" w:rsidR="00D50846" w:rsidRPr="00F909EF" w:rsidRDefault="00D50846" w:rsidP="003A74F3">
      <w:pPr>
        <w:pStyle w:val="NoSpacing"/>
        <w:spacing w:before="60" w:after="60"/>
        <w:rPr>
          <w:rFonts w:asciiTheme="majorHAnsi" w:hAnsiTheme="majorHAnsi"/>
          <w:lang w:val="en-GB"/>
        </w:rPr>
      </w:pPr>
      <w:r w:rsidRPr="00F909EF">
        <w:rPr>
          <w:rFonts w:asciiTheme="majorHAnsi" w:hAnsiTheme="majorHAnsi"/>
          <w:lang w:val="en-GB"/>
        </w:rPr>
        <w:t>UoA</w:t>
      </w:r>
      <w:r w:rsidRPr="00F909EF">
        <w:rPr>
          <w:rFonts w:asciiTheme="majorHAnsi" w:hAnsiTheme="majorHAnsi"/>
          <w:lang w:val="en-GB"/>
        </w:rPr>
        <w:tab/>
      </w:r>
      <w:r w:rsidRPr="00F909EF">
        <w:rPr>
          <w:rFonts w:asciiTheme="majorHAnsi" w:hAnsiTheme="majorHAnsi"/>
          <w:lang w:val="en-GB"/>
        </w:rPr>
        <w:tab/>
        <w:t>Unit of Assessment</w:t>
      </w:r>
    </w:p>
    <w:p w14:paraId="69F656BF" w14:textId="77777777" w:rsidR="001A108D" w:rsidRPr="00F909EF" w:rsidRDefault="00D50846" w:rsidP="003A74F3">
      <w:pPr>
        <w:pStyle w:val="NoSpacing"/>
        <w:spacing w:before="60" w:after="60"/>
        <w:rPr>
          <w:rFonts w:asciiTheme="majorHAnsi" w:hAnsiTheme="majorHAnsi"/>
          <w:lang w:val="en-GB"/>
        </w:rPr>
      </w:pPr>
      <w:r w:rsidRPr="00F909EF">
        <w:rPr>
          <w:rFonts w:asciiTheme="majorHAnsi" w:hAnsiTheme="majorHAnsi"/>
          <w:lang w:val="en-GB"/>
        </w:rPr>
        <w:t>UoC</w:t>
      </w:r>
      <w:r w:rsidRPr="00F909EF">
        <w:rPr>
          <w:rFonts w:asciiTheme="majorHAnsi" w:hAnsiTheme="majorHAnsi"/>
          <w:lang w:val="en-GB"/>
        </w:rPr>
        <w:tab/>
      </w:r>
      <w:r w:rsidRPr="00F909EF">
        <w:rPr>
          <w:rFonts w:asciiTheme="majorHAnsi" w:hAnsiTheme="majorHAnsi"/>
          <w:lang w:val="en-GB"/>
        </w:rPr>
        <w:tab/>
        <w:t>Unit of Certification</w:t>
      </w:r>
    </w:p>
    <w:p w14:paraId="046E7959" w14:textId="4A7E6B3A" w:rsidR="00F909EF" w:rsidRDefault="00F909EF" w:rsidP="003A74F3">
      <w:pPr>
        <w:pStyle w:val="NoSpacing"/>
        <w:spacing w:before="60" w:after="60"/>
        <w:rPr>
          <w:rFonts w:asciiTheme="majorHAnsi" w:hAnsiTheme="majorHAnsi"/>
          <w:lang w:val="en-GB"/>
        </w:rPr>
      </w:pPr>
      <w:r>
        <w:rPr>
          <w:rFonts w:asciiTheme="majorHAnsi" w:hAnsiTheme="majorHAnsi"/>
          <w:lang w:val="en-GB"/>
        </w:rPr>
        <w:t>VHS</w:t>
      </w:r>
      <w:r>
        <w:rPr>
          <w:rFonts w:asciiTheme="majorHAnsi" w:hAnsiTheme="majorHAnsi"/>
          <w:lang w:val="en-GB"/>
        </w:rPr>
        <w:tab/>
      </w:r>
      <w:r>
        <w:rPr>
          <w:rFonts w:asciiTheme="majorHAnsi" w:hAnsiTheme="majorHAnsi"/>
          <w:lang w:val="en-GB"/>
        </w:rPr>
        <w:tab/>
        <w:t>Very High Frequency</w:t>
      </w:r>
    </w:p>
    <w:p w14:paraId="1B2BE6FC" w14:textId="1D320ED9" w:rsidR="001A108D" w:rsidRPr="00F909EF" w:rsidRDefault="001A108D" w:rsidP="003A74F3">
      <w:pPr>
        <w:pStyle w:val="NoSpacing"/>
        <w:spacing w:before="60" w:after="60"/>
        <w:rPr>
          <w:rFonts w:asciiTheme="majorHAnsi" w:hAnsiTheme="majorHAnsi"/>
          <w:lang w:val="en-GB"/>
        </w:rPr>
      </w:pPr>
      <w:r w:rsidRPr="00F909EF">
        <w:rPr>
          <w:rFonts w:asciiTheme="majorHAnsi" w:hAnsiTheme="majorHAnsi"/>
          <w:lang w:val="en-GB"/>
        </w:rPr>
        <w:t>VME</w:t>
      </w:r>
      <w:r w:rsidRPr="00F909EF">
        <w:rPr>
          <w:rFonts w:asciiTheme="majorHAnsi" w:hAnsiTheme="majorHAnsi"/>
          <w:lang w:val="en-GB"/>
        </w:rPr>
        <w:tab/>
      </w:r>
      <w:r w:rsidRPr="00F909EF">
        <w:rPr>
          <w:rFonts w:asciiTheme="majorHAnsi" w:hAnsiTheme="majorHAnsi"/>
          <w:lang w:val="en-GB"/>
        </w:rPr>
        <w:tab/>
        <w:t>Vulnerable Marine Ecosystem</w:t>
      </w:r>
    </w:p>
    <w:p w14:paraId="049C3016" w14:textId="17D44160" w:rsidR="00F909EF" w:rsidRPr="00F909EF" w:rsidRDefault="00F909EF" w:rsidP="003A74F3">
      <w:pPr>
        <w:pStyle w:val="NoSpacing"/>
        <w:spacing w:before="60" w:after="60"/>
        <w:rPr>
          <w:rFonts w:asciiTheme="majorHAnsi" w:hAnsiTheme="majorHAnsi"/>
          <w:lang w:val="en-GB"/>
        </w:rPr>
      </w:pPr>
      <w:r w:rsidRPr="00F909EF">
        <w:rPr>
          <w:rFonts w:asciiTheme="majorHAnsi" w:hAnsiTheme="majorHAnsi"/>
          <w:lang w:val="en-GB"/>
        </w:rPr>
        <w:t>WGCRAB</w:t>
      </w:r>
      <w:r w:rsidRPr="00F909EF">
        <w:rPr>
          <w:rFonts w:asciiTheme="majorHAnsi" w:hAnsiTheme="majorHAnsi"/>
          <w:lang w:val="en-GB"/>
        </w:rPr>
        <w:tab/>
        <w:t>ICES Working Group on the Biology and Life History of Crabs</w:t>
      </w:r>
    </w:p>
    <w:p w14:paraId="38168671" w14:textId="77777777" w:rsidR="00714536" w:rsidRPr="005C0C94" w:rsidRDefault="00714536" w:rsidP="00936B8E"/>
    <w:p w14:paraId="272754C6" w14:textId="77777777" w:rsidR="006605D8" w:rsidRPr="005C0C94" w:rsidRDefault="006605D8" w:rsidP="00936B8E">
      <w:pPr>
        <w:rPr>
          <w:bdr w:val="single" w:sz="4" w:space="0" w:color="auto"/>
        </w:rPr>
        <w:sectPr w:rsidR="006605D8" w:rsidRPr="005C0C94" w:rsidSect="006605D8">
          <w:headerReference w:type="default" r:id="rId15"/>
          <w:footerReference w:type="default" r:id="rId16"/>
          <w:footerReference w:type="first" r:id="rId17"/>
          <w:type w:val="continuous"/>
          <w:pgSz w:w="11906" w:h="16838"/>
          <w:pgMar w:top="1440" w:right="1440" w:bottom="1440" w:left="1440" w:header="708" w:footer="708" w:gutter="0"/>
          <w:pgNumType w:fmt="lowerRoman" w:start="1"/>
          <w:cols w:space="708"/>
          <w:docGrid w:linePitch="360"/>
        </w:sectPr>
      </w:pPr>
    </w:p>
    <w:p w14:paraId="10DF6F4F" w14:textId="3486A23C" w:rsidR="00A123D1" w:rsidRDefault="0078204C" w:rsidP="00B70F04">
      <w:pPr>
        <w:pStyle w:val="Heading1"/>
        <w:numPr>
          <w:ilvl w:val="0"/>
          <w:numId w:val="3"/>
        </w:numPr>
      </w:pPr>
      <w:bookmarkStart w:id="6" w:name="_Toc292723253"/>
      <w:bookmarkStart w:id="7" w:name="_Toc372551812"/>
      <w:bookmarkStart w:id="8" w:name="_Toc469259565"/>
      <w:r w:rsidRPr="005C0C94">
        <w:lastRenderedPageBreak/>
        <w:t>I</w:t>
      </w:r>
      <w:r w:rsidR="00A123D1" w:rsidRPr="005C0C94">
        <w:t>ntroduction</w:t>
      </w:r>
      <w:bookmarkEnd w:id="6"/>
      <w:bookmarkEnd w:id="7"/>
      <w:bookmarkEnd w:id="8"/>
    </w:p>
    <w:p w14:paraId="66BDD59B" w14:textId="77777777" w:rsidR="00A123D1" w:rsidRPr="00030620" w:rsidRDefault="00A123D1" w:rsidP="00030620">
      <w:pPr>
        <w:pStyle w:val="Heading2"/>
      </w:pPr>
      <w:bookmarkStart w:id="9" w:name="_Toc292723254"/>
      <w:bookmarkStart w:id="10" w:name="_Toc372551813"/>
      <w:bookmarkStart w:id="11" w:name="_Toc469259566"/>
      <w:r w:rsidRPr="00030620">
        <w:t>Aims/scope of pre-assessment</w:t>
      </w:r>
      <w:bookmarkEnd w:id="9"/>
      <w:bookmarkEnd w:id="10"/>
      <w:bookmarkEnd w:id="11"/>
    </w:p>
    <w:p w14:paraId="5F9EB9B2" w14:textId="676355B3" w:rsidR="0094023F" w:rsidRDefault="007C5689" w:rsidP="00714536">
      <w:r>
        <w:t>This</w:t>
      </w:r>
      <w:r w:rsidR="0094023F">
        <w:t xml:space="preserve"> report presents an update of the </w:t>
      </w:r>
      <w:r w:rsidR="00F52168" w:rsidRPr="00F52168">
        <w:t xml:space="preserve">Marine Stewardship Council </w:t>
      </w:r>
      <w:r w:rsidR="00F52168">
        <w:t>(</w:t>
      </w:r>
      <w:r w:rsidR="0094023F">
        <w:t>MSC</w:t>
      </w:r>
      <w:r w:rsidR="00F52168">
        <w:t>)</w:t>
      </w:r>
      <w:r>
        <w:t xml:space="preserve"> pre-assessment </w:t>
      </w:r>
      <w:r w:rsidR="0094023F" w:rsidRPr="0094023F">
        <w:t xml:space="preserve">of the </w:t>
      </w:r>
      <w:r w:rsidR="00A36267">
        <w:t xml:space="preserve">UK </w:t>
      </w:r>
      <w:r w:rsidR="007D595E">
        <w:t xml:space="preserve">Western </w:t>
      </w:r>
      <w:r w:rsidR="00A44E4C">
        <w:t>C</w:t>
      </w:r>
      <w:r w:rsidR="007D595E">
        <w:t xml:space="preserve">hannel </w:t>
      </w:r>
      <w:r w:rsidR="00A36267">
        <w:t xml:space="preserve">and Celtic Sea </w:t>
      </w:r>
      <w:r w:rsidR="007D595E">
        <w:t xml:space="preserve">edible crab </w:t>
      </w:r>
      <w:r w:rsidR="00CE6A3A">
        <w:t>(</w:t>
      </w:r>
      <w:r w:rsidR="00CE6A3A" w:rsidRPr="00AE448E">
        <w:rPr>
          <w:i/>
        </w:rPr>
        <w:t>Cancer pagurus</w:t>
      </w:r>
      <w:r w:rsidR="00CE6A3A">
        <w:t xml:space="preserve">) </w:t>
      </w:r>
      <w:r w:rsidR="0094023F" w:rsidRPr="0094023F">
        <w:t xml:space="preserve">fishery </w:t>
      </w:r>
      <w:r w:rsidR="0094023F">
        <w:t xml:space="preserve">that was </w:t>
      </w:r>
      <w:r w:rsidR="00E04F6B">
        <w:t xml:space="preserve">originally </w:t>
      </w:r>
      <w:r w:rsidR="00517A17">
        <w:t xml:space="preserve">included </w:t>
      </w:r>
      <w:r w:rsidR="0094023F">
        <w:t>as part of Project Inshore</w:t>
      </w:r>
      <w:r w:rsidR="00E04F6B">
        <w:rPr>
          <w:rStyle w:val="FootnoteReference"/>
        </w:rPr>
        <w:footnoteReference w:id="2"/>
      </w:r>
      <w:r w:rsidR="0094023F">
        <w:t xml:space="preserve"> in 2013. As such, the primary aims of this </w:t>
      </w:r>
      <w:r w:rsidR="00EC5D32">
        <w:t>update of</w:t>
      </w:r>
      <w:r w:rsidR="0094023F">
        <w:t xml:space="preserve"> the earlier pre-assessment </w:t>
      </w:r>
      <w:r w:rsidR="007D595E">
        <w:t>are</w:t>
      </w:r>
      <w:r w:rsidR="0094023F">
        <w:t xml:space="preserve"> to:</w:t>
      </w:r>
    </w:p>
    <w:p w14:paraId="6DC52E32" w14:textId="47967FEE" w:rsidR="00517A17" w:rsidRDefault="00517A17" w:rsidP="0094023F">
      <w:pPr>
        <w:pStyle w:val="ListParagraph"/>
        <w:numPr>
          <w:ilvl w:val="0"/>
          <w:numId w:val="24"/>
        </w:numPr>
      </w:pPr>
      <w:r>
        <w:t>Undertake a</w:t>
      </w:r>
      <w:r w:rsidR="00E04F6B">
        <w:t xml:space="preserve"> further</w:t>
      </w:r>
      <w:r>
        <w:t xml:space="preserve"> review of available fishery</w:t>
      </w:r>
      <w:r w:rsidR="00E04F6B">
        <w:t>-</w:t>
      </w:r>
      <w:r>
        <w:t xml:space="preserve">specific data </w:t>
      </w:r>
    </w:p>
    <w:p w14:paraId="05F7B3FC" w14:textId="6F2A028E" w:rsidR="0094023F" w:rsidRDefault="0094023F" w:rsidP="0094023F">
      <w:pPr>
        <w:pStyle w:val="ListParagraph"/>
        <w:numPr>
          <w:ilvl w:val="0"/>
          <w:numId w:val="24"/>
        </w:numPr>
      </w:pPr>
      <w:r>
        <w:t>Identify the key changes that have occurred in either the operation or the management of the fisher</w:t>
      </w:r>
      <w:r w:rsidR="00F52168">
        <w:t xml:space="preserve">y which may lead to changes in </w:t>
      </w:r>
      <w:r>
        <w:t>expected MSC scoring outcomes</w:t>
      </w:r>
    </w:p>
    <w:p w14:paraId="26B47C0C" w14:textId="0AFBC82D" w:rsidR="00517A17" w:rsidRDefault="00517A17" w:rsidP="00517A17">
      <w:pPr>
        <w:pStyle w:val="ListParagraph"/>
        <w:numPr>
          <w:ilvl w:val="0"/>
          <w:numId w:val="24"/>
        </w:numPr>
      </w:pPr>
      <w:r>
        <w:t xml:space="preserve">Based upon updated information, review the performance of the fishery against the latest version of the </w:t>
      </w:r>
      <w:r w:rsidR="00F52168">
        <w:t>MSC certification requirements</w:t>
      </w:r>
      <w:r w:rsidR="00F52168">
        <w:rPr>
          <w:rStyle w:val="FootnoteReference"/>
        </w:rPr>
        <w:footnoteReference w:id="3"/>
      </w:r>
      <w:r>
        <w:t xml:space="preserve">, which includes a number of changes since the time </w:t>
      </w:r>
      <w:r w:rsidR="00E04F6B">
        <w:t>of</w:t>
      </w:r>
      <w:r>
        <w:t xml:space="preserve"> the original pre-assessment</w:t>
      </w:r>
      <w:r w:rsidR="00E04F6B">
        <w:t>.</w:t>
      </w:r>
    </w:p>
    <w:p w14:paraId="62961F02" w14:textId="27FD344A" w:rsidR="00517A17" w:rsidRDefault="00517A17" w:rsidP="00517A17">
      <w:pPr>
        <w:pStyle w:val="ListParagraph"/>
        <w:numPr>
          <w:ilvl w:val="0"/>
          <w:numId w:val="24"/>
        </w:numPr>
      </w:pPr>
      <w:r>
        <w:t>Present revised pre-assessment scoring and supporting rationale.</w:t>
      </w:r>
    </w:p>
    <w:p w14:paraId="26E0AC3A" w14:textId="5261160D" w:rsidR="007C5689" w:rsidRDefault="00517A17" w:rsidP="00517A17">
      <w:r>
        <w:t>As this pre-assessment is intended to be an update of an earlier pre-</w:t>
      </w:r>
      <w:r w:rsidR="00EC5D32">
        <w:t>assessment, a</w:t>
      </w:r>
      <w:r>
        <w:t xml:space="preserve"> simplified reporting template has been </w:t>
      </w:r>
      <w:r w:rsidR="00E04F6B">
        <w:t>used. This seeks to include the normative requirements of the MSC pre-assessment process – in particular in relation to definition, scope and scoring of the fishery – but does not include the level of wider background and description which would sometimes be included in a pre-assessment</w:t>
      </w:r>
      <w:r w:rsidR="00C93331">
        <w:t xml:space="preserve"> report</w:t>
      </w:r>
      <w:r w:rsidR="00E04F6B">
        <w:t xml:space="preserve">. </w:t>
      </w:r>
    </w:p>
    <w:p w14:paraId="2D43620B" w14:textId="68CF3129" w:rsidR="00FA22A2" w:rsidRDefault="00E04F6B" w:rsidP="00643EE0">
      <w:r>
        <w:t xml:space="preserve">However, this simplified </w:t>
      </w:r>
      <w:r w:rsidR="00714536">
        <w:t xml:space="preserve">pre-assessment </w:t>
      </w:r>
      <w:r>
        <w:t>update process still</w:t>
      </w:r>
      <w:r w:rsidR="00714536">
        <w:t xml:space="preserve"> involves </w:t>
      </w:r>
      <w:r>
        <w:t xml:space="preserve">providing </w:t>
      </w:r>
      <w:r w:rsidR="00714536">
        <w:t xml:space="preserve">a provisional evaluation against MSC Performance Indicators (PIs) and Scoring Guideposts (SGs), to inform how the fishery fares against the MSC standard and whether each PI is likely to </w:t>
      </w:r>
      <w:r w:rsidR="00643EE0">
        <w:t xml:space="preserve">fall within the following categories: </w:t>
      </w:r>
      <w:r w:rsidR="00714536">
        <w:t>fail (i.e. score &lt;60), pass with conditions (60-79) or pass without conditions (</w:t>
      </w:r>
      <w:r w:rsidR="00714536" w:rsidRPr="003D6210">
        <w:rPr>
          <w:rFonts w:ascii="MS Gothic" w:eastAsia="MS Gothic"/>
          <w:color w:val="000000"/>
        </w:rPr>
        <w:t>≥</w:t>
      </w:r>
      <w:r w:rsidR="00714536">
        <w:rPr>
          <w:rFonts w:ascii="MS Gothic" w:eastAsia="MS Gothic"/>
          <w:color w:val="000000"/>
        </w:rPr>
        <w:t xml:space="preserve"> </w:t>
      </w:r>
      <w:r w:rsidR="00714536" w:rsidRPr="00714536">
        <w:rPr>
          <w:rFonts w:eastAsia="MS Gothic" w:cs="Arial"/>
          <w:color w:val="000000"/>
        </w:rPr>
        <w:t>80</w:t>
      </w:r>
      <w:r w:rsidR="00714536" w:rsidRPr="00714536">
        <w:rPr>
          <w:rFonts w:eastAsia="MS Gothic"/>
          <w:color w:val="000000"/>
        </w:rPr>
        <w:t>)</w:t>
      </w:r>
      <w:r w:rsidR="00714536">
        <w:rPr>
          <w:rFonts w:eastAsia="MS Gothic"/>
          <w:color w:val="000000"/>
        </w:rPr>
        <w:t xml:space="preserve">.  It should be noted that the pre-assessment </w:t>
      </w:r>
      <w:r w:rsidR="007C5689">
        <w:t>does not attempt to duplicate a full assessment against the MSC standard</w:t>
      </w:r>
      <w:r w:rsidR="00643EE0">
        <w:t>,</w:t>
      </w:r>
      <w:r w:rsidR="00714536">
        <w:t xml:space="preserve"> which requires</w:t>
      </w:r>
      <w:r w:rsidR="00643EE0">
        <w:t xml:space="preserve"> precise scoring and defined public consultation phases</w:t>
      </w:r>
      <w:r w:rsidR="007C5689">
        <w:t xml:space="preserve">.  </w:t>
      </w:r>
    </w:p>
    <w:p w14:paraId="496CD069" w14:textId="77777777" w:rsidR="0094023F" w:rsidRPr="00030620" w:rsidRDefault="0094023F" w:rsidP="0094023F">
      <w:pPr>
        <w:pStyle w:val="Heading2"/>
      </w:pPr>
      <w:bookmarkStart w:id="12" w:name="_Toc469259567"/>
      <w:r w:rsidRPr="00030620">
        <w:t>Background</w:t>
      </w:r>
      <w:bookmarkEnd w:id="12"/>
    </w:p>
    <w:p w14:paraId="6E843172" w14:textId="199C04AE" w:rsidR="0094023F" w:rsidRDefault="0094023F" w:rsidP="0094023F">
      <w:r w:rsidRPr="00030620">
        <w:t>The pre-assessment has been undertaken as part of Project UK</w:t>
      </w:r>
      <w:r w:rsidR="002A7130">
        <w:t xml:space="preserve"> Fisheries Improvements</w:t>
      </w:r>
      <w:r w:rsidRPr="00030620">
        <w:t xml:space="preserve">. </w:t>
      </w:r>
    </w:p>
    <w:p w14:paraId="34C011E5" w14:textId="06BCE5C5" w:rsidR="002A7130" w:rsidRPr="00030620" w:rsidRDefault="002A7130" w:rsidP="002A7130">
      <w:r>
        <w:t>Project UK Fisheries Improvements (PUKFI) is working towards an environmentally sustainable future for UK fisheries by running Fishery Improvement Projects (FIPs) on six UK fisheries that have been selected by the UK supply chain. They were selected due to their importance for the UK market. PUKFI will do this through strategic use of the MSC process to develop credible FIPs, giving each fishery the tools to implement changes and to ensure their sustainable future. It will use the MSC Pre-Assessment process as a gap analysis to determine current status, identify improvements and inform development of an Action Plan designed to ultimately improve the sustainability of the fishery.</w:t>
      </w:r>
    </w:p>
    <w:p w14:paraId="005E803D" w14:textId="73392176" w:rsidR="0076443F" w:rsidRDefault="00E04F6B" w:rsidP="0076443F">
      <w:r>
        <w:t>P</w:t>
      </w:r>
      <w:r w:rsidR="002A7130">
        <w:t>UKFI</w:t>
      </w:r>
      <w:r>
        <w:t xml:space="preserve"> builds upon the foundation of Project Inshore, a project which ran from 201</w:t>
      </w:r>
      <w:r w:rsidR="0076443F">
        <w:t>2</w:t>
      </w:r>
      <w:r>
        <w:t>-201</w:t>
      </w:r>
      <w:r w:rsidR="0076443F">
        <w:t>4</w:t>
      </w:r>
      <w:r>
        <w:t xml:space="preserve"> </w:t>
      </w:r>
      <w:r w:rsidR="00932F45">
        <w:t xml:space="preserve">and </w:t>
      </w:r>
      <w:r>
        <w:t>which sought to map and present key data on English Inshore fisheries</w:t>
      </w:r>
      <w:r w:rsidR="0076443F">
        <w:t xml:space="preserve"> (Stage 1)</w:t>
      </w:r>
      <w:r w:rsidR="00C93331">
        <w:t>;</w:t>
      </w:r>
      <w:r>
        <w:t xml:space="preserve"> undertake MSC pre-assessments of those fisheries </w:t>
      </w:r>
      <w:r w:rsidR="0076443F">
        <w:t>(</w:t>
      </w:r>
      <w:r w:rsidR="00A36267">
        <w:t>S</w:t>
      </w:r>
      <w:r w:rsidR="0076443F">
        <w:t xml:space="preserve">tage 2) </w:t>
      </w:r>
      <w:r>
        <w:t>and</w:t>
      </w:r>
      <w:r w:rsidR="00C93331">
        <w:t>;</w:t>
      </w:r>
      <w:r>
        <w:t xml:space="preserve"> </w:t>
      </w:r>
      <w:r w:rsidR="0076443F">
        <w:t xml:space="preserve">drawing on the conclusions of the pre-assessment, </w:t>
      </w:r>
      <w:r w:rsidR="0076443F">
        <w:lastRenderedPageBreak/>
        <w:t xml:space="preserve">provide </w:t>
      </w:r>
      <w:r w:rsidR="00EC5D32">
        <w:t xml:space="preserve">strategic </w:t>
      </w:r>
      <w:r>
        <w:t xml:space="preserve">sustainability </w:t>
      </w:r>
      <w:r w:rsidR="00EC5D32">
        <w:t>reviews</w:t>
      </w:r>
      <w:r>
        <w:t xml:space="preserve"> </w:t>
      </w:r>
      <w:r w:rsidR="0076443F">
        <w:t>for each</w:t>
      </w:r>
      <w:r w:rsidR="0076443F">
        <w:rPr>
          <w:rStyle w:val="FootnoteReference"/>
        </w:rPr>
        <w:footnoteReference w:id="4"/>
      </w:r>
      <w:r w:rsidR="0076443F">
        <w:t xml:space="preserve"> English Inshore Fisheries </w:t>
      </w:r>
      <w:r w:rsidR="00A36267">
        <w:t>Conservation Authority (IFCA) (S</w:t>
      </w:r>
      <w:r w:rsidR="0076443F">
        <w:t xml:space="preserve">tage 3). </w:t>
      </w:r>
    </w:p>
    <w:p w14:paraId="517BCDAE" w14:textId="2CF7131A" w:rsidR="00EC5D32" w:rsidRDefault="00EC5D32" w:rsidP="00EC5D32">
      <w:r>
        <w:t xml:space="preserve">The original pre-assessment report (Stage 2) is available for download from the Seafish Website (Southall </w:t>
      </w:r>
      <w:r w:rsidRPr="00EC5D32">
        <w:rPr>
          <w:i/>
        </w:rPr>
        <w:t>et al</w:t>
      </w:r>
      <w:r>
        <w:t xml:space="preserve"> 2013)</w:t>
      </w:r>
      <w:r>
        <w:rPr>
          <w:rStyle w:val="FootnoteReference"/>
        </w:rPr>
        <w:footnoteReference w:id="5"/>
      </w:r>
      <w:r>
        <w:t>. In addition, the 2013 pre-assessment results are presented in a</w:t>
      </w:r>
      <w:r w:rsidR="00932F45">
        <w:t>n online database</w:t>
      </w:r>
      <w:r w:rsidR="00932F45">
        <w:rPr>
          <w:rStyle w:val="FootnoteReference"/>
        </w:rPr>
        <w:footnoteReference w:id="6"/>
      </w:r>
      <w:r w:rsidR="00932F45">
        <w:t xml:space="preserve"> which </w:t>
      </w:r>
      <w:r>
        <w:t xml:space="preserve">allows users to search for </w:t>
      </w:r>
      <w:r w:rsidR="00932F45">
        <w:t xml:space="preserve">the MSC pre-assessment results for </w:t>
      </w:r>
      <w:r>
        <w:t>a particular species</w:t>
      </w:r>
      <w:r w:rsidR="00932F45">
        <w:t xml:space="preserve"> and filter results by stock, gear type or IFCA region.</w:t>
      </w:r>
    </w:p>
    <w:p w14:paraId="47448E06" w14:textId="145B8639" w:rsidR="006906B8" w:rsidRDefault="006906B8" w:rsidP="00EC5D32">
      <w:r>
        <w:t xml:space="preserve">This Pre-Assessment will feed in to the development of an Action Plan for the fishery, designed to raise the scores over a defined period to a point at which the fishery could enter MSC assessment. </w:t>
      </w:r>
    </w:p>
    <w:p w14:paraId="0D14FBDE" w14:textId="46FB43E8" w:rsidR="00CE3F08" w:rsidRPr="00030620" w:rsidRDefault="00CE3F08" w:rsidP="00030620">
      <w:pPr>
        <w:pStyle w:val="Heading2"/>
      </w:pPr>
      <w:bookmarkStart w:id="13" w:name="_Toc292723255"/>
      <w:bookmarkStart w:id="14" w:name="_Toc372551814"/>
      <w:bookmarkStart w:id="15" w:name="_Toc469259568"/>
      <w:bookmarkStart w:id="16" w:name="_Toc292723264"/>
      <w:r w:rsidRPr="00030620">
        <w:t>Constraints to the pre-assessment of the fishery</w:t>
      </w:r>
      <w:bookmarkEnd w:id="13"/>
      <w:bookmarkEnd w:id="14"/>
      <w:bookmarkEnd w:id="15"/>
    </w:p>
    <w:p w14:paraId="3EEE8090" w14:textId="7E7D768C" w:rsidR="00316A48" w:rsidRPr="005C0C94" w:rsidRDefault="00517A17" w:rsidP="00D061EE">
      <w:pPr>
        <w:rPr>
          <w:lang w:eastAsia="en-GB"/>
        </w:rPr>
      </w:pPr>
      <w:r w:rsidRPr="00517A17">
        <w:rPr>
          <w:lang w:eastAsia="en-GB"/>
        </w:rPr>
        <w:t>Given that this is an update of an earlier pre-assessment</w:t>
      </w:r>
      <w:r w:rsidR="009A2F79">
        <w:rPr>
          <w:lang w:eastAsia="en-GB"/>
        </w:rPr>
        <w:t>,</w:t>
      </w:r>
      <w:r w:rsidRPr="00517A17">
        <w:rPr>
          <w:lang w:eastAsia="en-GB"/>
        </w:rPr>
        <w:t xml:space="preserve"> no site visit to the fishery has been undertaken. </w:t>
      </w:r>
      <w:r w:rsidR="00932F45">
        <w:rPr>
          <w:lang w:eastAsia="en-GB"/>
        </w:rPr>
        <w:t xml:space="preserve">However, in spite of this a representative range of data has been available to the assessors. </w:t>
      </w:r>
      <w:r w:rsidR="007C5689">
        <w:rPr>
          <w:lang w:eastAsia="en-GB"/>
        </w:rPr>
        <w:t>All key data sources were made available to allow appropriate assessment for this fishery</w:t>
      </w:r>
      <w:r w:rsidR="00D061EE">
        <w:rPr>
          <w:lang w:eastAsia="en-GB"/>
        </w:rPr>
        <w:t xml:space="preserve"> and an appropriate level of stakeholder consultation was undertaken</w:t>
      </w:r>
      <w:r w:rsidR="007C5689">
        <w:rPr>
          <w:lang w:eastAsia="en-GB"/>
        </w:rPr>
        <w:t xml:space="preserve">. </w:t>
      </w:r>
      <w:r w:rsidR="00D061EE">
        <w:rPr>
          <w:lang w:eastAsia="en-GB"/>
        </w:rPr>
        <w:t xml:space="preserve">However, the comparatively quick pre-assessment exercise still does not go into the level of detailed and rigorous scrutiny, which is undertaken as part of a full </w:t>
      </w:r>
      <w:r w:rsidR="00044910">
        <w:rPr>
          <w:lang w:eastAsia="en-GB"/>
        </w:rPr>
        <w:t xml:space="preserve">MSC </w:t>
      </w:r>
      <w:r w:rsidR="00D061EE">
        <w:rPr>
          <w:lang w:eastAsia="en-GB"/>
        </w:rPr>
        <w:t xml:space="preserve">assessment. For this reason, it cannot be guaranteed that the outcome of a full assessment process can be predicted with absolute accuracy. There may still be some unforeseen additional issues that arise once a fuller public consultation exercise is undertaken as part of any full assessment. </w:t>
      </w:r>
    </w:p>
    <w:p w14:paraId="5EC6FC16" w14:textId="15A5608D" w:rsidR="00CE3F08" w:rsidRPr="00030620" w:rsidRDefault="00CE3F08" w:rsidP="00030620">
      <w:pPr>
        <w:pStyle w:val="Heading2"/>
      </w:pPr>
      <w:bookmarkStart w:id="17" w:name="_Toc372551815"/>
      <w:bookmarkStart w:id="18" w:name="_Toc469259569"/>
      <w:r w:rsidRPr="00030620">
        <w:t xml:space="preserve">Unit(s) of </w:t>
      </w:r>
      <w:bookmarkEnd w:id="16"/>
      <w:bookmarkEnd w:id="17"/>
      <w:r w:rsidR="001E6503" w:rsidRPr="00030620">
        <w:t>A</w:t>
      </w:r>
      <w:r w:rsidR="00B63618" w:rsidRPr="00030620">
        <w:t>ssessment</w:t>
      </w:r>
      <w:bookmarkEnd w:id="18"/>
    </w:p>
    <w:p w14:paraId="73915015" w14:textId="5EAE7E45" w:rsidR="00D50846" w:rsidRDefault="00D50846" w:rsidP="00D50846">
      <w:r>
        <w:t>The</w:t>
      </w:r>
      <w:r w:rsidR="006921E4">
        <w:t xml:space="preserve"> </w:t>
      </w:r>
      <w:r w:rsidR="00044910">
        <w:t xml:space="preserve">Unit of Assessment (UoA) </w:t>
      </w:r>
      <w:r w:rsidR="00932F45">
        <w:t xml:space="preserve">for this updated pre-assessment is </w:t>
      </w:r>
      <w:r>
        <w:t>defined as:</w:t>
      </w:r>
    </w:p>
    <w:p w14:paraId="5970B504" w14:textId="003F3198" w:rsidR="00932F45" w:rsidRPr="003F1DA7" w:rsidRDefault="00932F45" w:rsidP="00932F45">
      <w:pPr>
        <w:pStyle w:val="Caption"/>
        <w:rPr>
          <w:sz w:val="20"/>
        </w:rPr>
      </w:pPr>
      <w:bookmarkStart w:id="19" w:name="_Ref326482693"/>
      <w:r w:rsidRPr="003F1DA7">
        <w:rPr>
          <w:sz w:val="20"/>
        </w:rPr>
        <w:t>Table 1</w:t>
      </w:r>
      <w:bookmarkEnd w:id="19"/>
      <w:r w:rsidRPr="003F1DA7">
        <w:rPr>
          <w:sz w:val="20"/>
        </w:rPr>
        <w:t>: Unit of Assessment</w:t>
      </w:r>
    </w:p>
    <w:tbl>
      <w:tblPr>
        <w:tblStyle w:val="TableGrid"/>
        <w:tblW w:w="0" w:type="auto"/>
        <w:tblLook w:val="04A0" w:firstRow="1" w:lastRow="0" w:firstColumn="1" w:lastColumn="0" w:noHBand="0" w:noVBand="1"/>
      </w:tblPr>
      <w:tblGrid>
        <w:gridCol w:w="2830"/>
        <w:gridCol w:w="6186"/>
      </w:tblGrid>
      <w:tr w:rsidR="003F1DA7" w14:paraId="7B1B765B" w14:textId="77777777" w:rsidTr="006816A8">
        <w:tc>
          <w:tcPr>
            <w:tcW w:w="2830" w:type="dxa"/>
            <w:shd w:val="clear" w:color="auto" w:fill="8DB3E2"/>
          </w:tcPr>
          <w:p w14:paraId="56134568" w14:textId="7FC1E744" w:rsidR="00E45137" w:rsidRDefault="00E45137" w:rsidP="002D4E32">
            <w:pPr>
              <w:pStyle w:val="Tableheader"/>
            </w:pPr>
            <w:r>
              <w:t>Target Stock:</w:t>
            </w:r>
          </w:p>
        </w:tc>
        <w:tc>
          <w:tcPr>
            <w:tcW w:w="6186" w:type="dxa"/>
          </w:tcPr>
          <w:p w14:paraId="3C5A9BE5" w14:textId="67B1207F" w:rsidR="00E45137" w:rsidRDefault="009A2F79" w:rsidP="00AE448E">
            <w:pPr>
              <w:pStyle w:val="Tabletext"/>
            </w:pPr>
            <w:r>
              <w:t>E</w:t>
            </w:r>
            <w:r w:rsidRPr="009A2F79">
              <w:t>dible crab (</w:t>
            </w:r>
            <w:r w:rsidRPr="009A2F79">
              <w:rPr>
                <w:i/>
              </w:rPr>
              <w:t>Cancer pagurus</w:t>
            </w:r>
            <w:r>
              <w:t>)</w:t>
            </w:r>
            <w:r w:rsidRPr="009A2F79">
              <w:t xml:space="preserve"> </w:t>
            </w:r>
            <w:r w:rsidR="00AE448E">
              <w:t xml:space="preserve">Western </w:t>
            </w:r>
            <w:r w:rsidR="00A44E4C">
              <w:t xml:space="preserve">English </w:t>
            </w:r>
            <w:r w:rsidR="00AE448E">
              <w:t xml:space="preserve">Channel </w:t>
            </w:r>
            <w:r w:rsidR="00D01683">
              <w:t>and Celtic Sea</w:t>
            </w:r>
          </w:p>
        </w:tc>
      </w:tr>
      <w:tr w:rsidR="003F1DA7" w14:paraId="080C63B2" w14:textId="77777777" w:rsidTr="006816A8">
        <w:tc>
          <w:tcPr>
            <w:tcW w:w="2830" w:type="dxa"/>
            <w:shd w:val="clear" w:color="auto" w:fill="8DB3E2"/>
          </w:tcPr>
          <w:p w14:paraId="67987CEA" w14:textId="77777777" w:rsidR="00E45137" w:rsidRDefault="00E45137" w:rsidP="002D4E32">
            <w:pPr>
              <w:pStyle w:val="Tableheader"/>
            </w:pPr>
            <w:r>
              <w:t xml:space="preserve">Fishing Method / gear type: </w:t>
            </w:r>
          </w:p>
        </w:tc>
        <w:tc>
          <w:tcPr>
            <w:tcW w:w="6186" w:type="dxa"/>
          </w:tcPr>
          <w:p w14:paraId="5FFD0096" w14:textId="639AE813" w:rsidR="00E45137" w:rsidRDefault="00AE448E" w:rsidP="002D4E32">
            <w:pPr>
              <w:pStyle w:val="Tabletext"/>
            </w:pPr>
            <w:r>
              <w:t>Pots and traps</w:t>
            </w:r>
          </w:p>
        </w:tc>
      </w:tr>
      <w:tr w:rsidR="003F1DA7" w14:paraId="427882D4" w14:textId="77777777" w:rsidTr="006816A8">
        <w:tc>
          <w:tcPr>
            <w:tcW w:w="2830" w:type="dxa"/>
            <w:shd w:val="clear" w:color="auto" w:fill="8DB3E2"/>
          </w:tcPr>
          <w:p w14:paraId="5E59580A" w14:textId="77777777" w:rsidR="00E45137" w:rsidRDefault="00E45137" w:rsidP="002D4E32">
            <w:pPr>
              <w:pStyle w:val="Tableheader"/>
            </w:pPr>
            <w:r>
              <w:t>Fishing Fleet</w:t>
            </w:r>
          </w:p>
        </w:tc>
        <w:tc>
          <w:tcPr>
            <w:tcW w:w="6186" w:type="dxa"/>
          </w:tcPr>
          <w:p w14:paraId="24935033" w14:textId="1058FA7E" w:rsidR="00E45137" w:rsidRDefault="00AE448E" w:rsidP="002D4E32">
            <w:pPr>
              <w:pStyle w:val="Tabletext"/>
            </w:pPr>
            <w:r>
              <w:t>Eligible UK registered  vessels</w:t>
            </w:r>
            <w:r>
              <w:rPr>
                <w:rStyle w:val="FootnoteReference"/>
              </w:rPr>
              <w:footnoteReference w:id="7"/>
            </w:r>
          </w:p>
        </w:tc>
      </w:tr>
      <w:tr w:rsidR="003F1DA7" w14:paraId="15533437" w14:textId="77777777" w:rsidTr="006816A8">
        <w:tc>
          <w:tcPr>
            <w:tcW w:w="2830" w:type="dxa"/>
            <w:shd w:val="clear" w:color="auto" w:fill="8DB3E2"/>
          </w:tcPr>
          <w:p w14:paraId="243FD1BD" w14:textId="77777777" w:rsidR="00E45137" w:rsidRDefault="00E45137" w:rsidP="002D4E32">
            <w:pPr>
              <w:pStyle w:val="Tableheader"/>
            </w:pPr>
            <w:r>
              <w:t xml:space="preserve">Area: </w:t>
            </w:r>
          </w:p>
        </w:tc>
        <w:tc>
          <w:tcPr>
            <w:tcW w:w="6186" w:type="dxa"/>
          </w:tcPr>
          <w:p w14:paraId="3F5E0784" w14:textId="71C58F25" w:rsidR="00E45137" w:rsidRDefault="00AE448E" w:rsidP="007F63F5">
            <w:pPr>
              <w:pStyle w:val="Tabletext"/>
            </w:pPr>
            <w:r>
              <w:t xml:space="preserve">ICES areas </w:t>
            </w:r>
            <w:proofErr w:type="spellStart"/>
            <w:r>
              <w:t>VIIe</w:t>
            </w:r>
            <w:proofErr w:type="spellEnd"/>
            <w:r w:rsidR="007F63F5">
              <w:t xml:space="preserve">, </w:t>
            </w:r>
            <w:proofErr w:type="spellStart"/>
            <w:r>
              <w:t>VIIh</w:t>
            </w:r>
            <w:proofErr w:type="spellEnd"/>
            <w:r w:rsidR="007F63F5">
              <w:t xml:space="preserve"> &amp; part of </w:t>
            </w:r>
            <w:proofErr w:type="spellStart"/>
            <w:r w:rsidR="007F63F5">
              <w:t>VIId</w:t>
            </w:r>
            <w:proofErr w:type="spellEnd"/>
            <w:r w:rsidR="00D01683">
              <w:t xml:space="preserve">, and </w:t>
            </w:r>
            <w:r w:rsidR="00A36267">
              <w:t xml:space="preserve">areas </w:t>
            </w:r>
            <w:proofErr w:type="spellStart"/>
            <w:r w:rsidR="00D01683">
              <w:t>VIIf</w:t>
            </w:r>
            <w:proofErr w:type="spellEnd"/>
            <w:r w:rsidR="00D01683">
              <w:t xml:space="preserve"> &amp; </w:t>
            </w:r>
            <w:proofErr w:type="spellStart"/>
            <w:r w:rsidR="00D01683">
              <w:t>VIIg</w:t>
            </w:r>
            <w:proofErr w:type="spellEnd"/>
          </w:p>
        </w:tc>
      </w:tr>
    </w:tbl>
    <w:p w14:paraId="0D25675F" w14:textId="6088828D" w:rsidR="00D50846" w:rsidRDefault="00183218" w:rsidP="00D50846">
      <w:pPr>
        <w:pStyle w:val="ListBullet"/>
        <w:contextualSpacing w:val="0"/>
      </w:pPr>
      <w:r>
        <w:t xml:space="preserve">Other future eligible fishers may include vessels </w:t>
      </w:r>
      <w:r w:rsidR="00AE448E">
        <w:t xml:space="preserve">that sign-up to and comply with the rules of the </w:t>
      </w:r>
      <w:r w:rsidR="00083003">
        <w:t xml:space="preserve">candidate fishery (yet to be fully determined) </w:t>
      </w:r>
      <w:r w:rsidR="00AE448E">
        <w:t>at the core of this assessment</w:t>
      </w:r>
      <w:r>
        <w:t>.</w:t>
      </w:r>
    </w:p>
    <w:p w14:paraId="12D0EA60" w14:textId="03A3FC1A" w:rsidR="004F15A4" w:rsidRPr="005C0C94" w:rsidRDefault="004F15A4" w:rsidP="00030620">
      <w:pPr>
        <w:pStyle w:val="Heading2"/>
      </w:pPr>
      <w:bookmarkStart w:id="20" w:name="_Toc372551816"/>
      <w:bookmarkStart w:id="21" w:name="_Toc469259570"/>
      <w:r w:rsidRPr="005C0C94">
        <w:t xml:space="preserve">Total Allowable Catch (TAC) and Catch </w:t>
      </w:r>
      <w:bookmarkEnd w:id="20"/>
      <w:r w:rsidRPr="005C0C94">
        <w:t>Data</w:t>
      </w:r>
      <w:bookmarkEnd w:id="21"/>
    </w:p>
    <w:p w14:paraId="55149A1B" w14:textId="2C97208B" w:rsidR="00927443" w:rsidRDefault="00927443" w:rsidP="004F15A4">
      <w:r>
        <w:t xml:space="preserve">The distribution of edible crab fisheries around the UK is illustrated in </w:t>
      </w:r>
      <w:r w:rsidRPr="00927443">
        <w:rPr>
          <w:b/>
        </w:rPr>
        <w:t>Fig 1</w:t>
      </w:r>
      <w:r>
        <w:t xml:space="preserve">, and the relative distribution of catches by the UK fleet is illustrated in </w:t>
      </w:r>
      <w:r w:rsidRPr="00927443">
        <w:rPr>
          <w:b/>
        </w:rPr>
        <w:t>Fig 2</w:t>
      </w:r>
      <w:r>
        <w:t>.</w:t>
      </w:r>
    </w:p>
    <w:p w14:paraId="55E73DE9" w14:textId="1268E104" w:rsidR="00AD18C5" w:rsidRDefault="004F15A4" w:rsidP="004F15A4">
      <w:r>
        <w:t xml:space="preserve">No TACs are set for the </w:t>
      </w:r>
      <w:r w:rsidR="00A44E4C">
        <w:t xml:space="preserve">Western </w:t>
      </w:r>
      <w:r w:rsidR="00083003">
        <w:t>C</w:t>
      </w:r>
      <w:r w:rsidR="00A44E4C">
        <w:t xml:space="preserve">hannel </w:t>
      </w:r>
      <w:r w:rsidR="00083003">
        <w:t xml:space="preserve">&amp; Celtic Sea </w:t>
      </w:r>
      <w:r w:rsidR="00A44E4C">
        <w:t xml:space="preserve">edible crab </w:t>
      </w:r>
      <w:r>
        <w:t>fishery.</w:t>
      </w:r>
      <w:r w:rsidR="00AD18C5">
        <w:t xml:space="preserve">  </w:t>
      </w:r>
    </w:p>
    <w:p w14:paraId="40B099A4" w14:textId="3CC84B30" w:rsidR="00AD18C5" w:rsidRDefault="00AD18C5" w:rsidP="004F15A4">
      <w:r>
        <w:lastRenderedPageBreak/>
        <w:t>Stock assessment is undertaken at the geographical level of the Western Channel</w:t>
      </w:r>
      <w:r w:rsidR="00083003">
        <w:t xml:space="preserve"> (</w:t>
      </w:r>
      <w:r>
        <w:t>ICES areas VIIe</w:t>
      </w:r>
      <w:r w:rsidR="007F63F5">
        <w:t xml:space="preserve">, </w:t>
      </w:r>
      <w:r>
        <w:t>h</w:t>
      </w:r>
      <w:r w:rsidR="007F63F5">
        <w:t xml:space="preserve"> &amp; part of d</w:t>
      </w:r>
      <w:r w:rsidR="00083003">
        <w:t>)</w:t>
      </w:r>
      <w:r>
        <w:t xml:space="preserve"> </w:t>
      </w:r>
      <w:r w:rsidR="00083003">
        <w:t xml:space="preserve">and the Celtic Sea (ICES areas VII f &amp; g) </w:t>
      </w:r>
      <w:r>
        <w:t xml:space="preserve">and encompasses </w:t>
      </w:r>
      <w:r w:rsidR="00083003">
        <w:t xml:space="preserve">an area fished by fleet segments registered to the </w:t>
      </w:r>
      <w:r>
        <w:t>UK, Ir</w:t>
      </w:r>
      <w:r w:rsidR="00083003">
        <w:t xml:space="preserve">eland, France and the </w:t>
      </w:r>
      <w:r>
        <w:t>Channel Island</w:t>
      </w:r>
      <w:r w:rsidR="00927443">
        <w:t xml:space="preserve"> (see </w:t>
      </w:r>
      <w:r w:rsidR="00927443" w:rsidRPr="00927443">
        <w:rPr>
          <w:b/>
        </w:rPr>
        <w:t>Fig 3</w:t>
      </w:r>
      <w:r w:rsidR="00927443">
        <w:t>)</w:t>
      </w:r>
      <w:r>
        <w:t>.</w:t>
      </w:r>
    </w:p>
    <w:p w14:paraId="3AD88567" w14:textId="7261FBC1" w:rsidR="00D4021F" w:rsidRDefault="00AD18C5" w:rsidP="004F15A4">
      <w:r>
        <w:t>Total landings were a</w:t>
      </w:r>
      <w:r w:rsidR="00772C50">
        <w:t xml:space="preserve">round </w:t>
      </w:r>
      <w:r w:rsidR="00D4021F">
        <w:t>8,000</w:t>
      </w:r>
      <w:r>
        <w:t xml:space="preserve">t </w:t>
      </w:r>
      <w:r w:rsidR="003F1DA7">
        <w:t xml:space="preserve">for the areas covered by the Western Channel stock assessment </w:t>
      </w:r>
      <w:r>
        <w:t xml:space="preserve">for </w:t>
      </w:r>
      <w:r w:rsidR="00772C50">
        <w:t>each of the years 2013-</w:t>
      </w:r>
      <w:r>
        <w:t>2015</w:t>
      </w:r>
      <w:r w:rsidR="00772C50">
        <w:t>, comprising 5,000t f</w:t>
      </w:r>
      <w:r w:rsidR="003F1DA7">
        <w:t>r</w:t>
      </w:r>
      <w:r w:rsidR="00772C50">
        <w:t xml:space="preserve">om the UK, 2,000t from France, and </w:t>
      </w:r>
      <w:r w:rsidR="00D4021F">
        <w:t>1,000</w:t>
      </w:r>
      <w:r w:rsidR="00772C50">
        <w:t>t from the Channel Islands</w:t>
      </w:r>
      <w:r>
        <w:t>.</w:t>
      </w:r>
      <w:r w:rsidR="003F1DA7">
        <w:t xml:space="preserve">  Landings for the Celtic Sea stock assessment area are estimated at 3,000t, comprising 2,000t from the UK, </w:t>
      </w:r>
      <w:r w:rsidR="005A14BE">
        <w:t>and 1,000t from Ireland.</w:t>
      </w:r>
      <w:r>
        <w:t xml:space="preserve">  </w:t>
      </w:r>
    </w:p>
    <w:p w14:paraId="320562E4" w14:textId="61A4945D" w:rsidR="00A44E4C" w:rsidRDefault="00D4021F" w:rsidP="004F15A4">
      <w:r>
        <w:t>The Unit of Assessment (UoA) comprises the Western English Channel edible crab stock.  The Unit of Certification (UoC) is limited to the regional UK crab potting fleet.</w:t>
      </w:r>
      <w:r w:rsidR="004F15A4">
        <w:t xml:space="preserve"> </w:t>
      </w:r>
    </w:p>
    <w:p w14:paraId="11BCE958" w14:textId="6207EDF2" w:rsidR="004F15A4" w:rsidRPr="005C0C94" w:rsidRDefault="004F15A4" w:rsidP="004F15A4">
      <w:pPr>
        <w:pStyle w:val="Caption"/>
        <w:rPr>
          <w:b w:val="0"/>
        </w:rPr>
      </w:pPr>
      <w:r>
        <w:t xml:space="preserve">Table </w:t>
      </w:r>
      <w:r w:rsidR="00E45137">
        <w:t>2</w:t>
      </w:r>
      <w:r>
        <w:t xml:space="preserve">: </w:t>
      </w:r>
      <w:r w:rsidRPr="005C0C94">
        <w:rPr>
          <w:b w:val="0"/>
        </w:rPr>
        <w:t>Catch Data</w:t>
      </w:r>
      <w:r>
        <w:rPr>
          <w:b w:val="0"/>
        </w:rPr>
        <w:t xml:space="preserve"> for </w:t>
      </w:r>
      <w:r w:rsidR="00D4021F">
        <w:rPr>
          <w:b w:val="0"/>
        </w:rPr>
        <w:t>Western English Channel Edible Crab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3"/>
        <w:gridCol w:w="1499"/>
        <w:gridCol w:w="1501"/>
        <w:gridCol w:w="1512"/>
        <w:gridCol w:w="1511"/>
      </w:tblGrid>
      <w:tr w:rsidR="004F15A4" w:rsidRPr="005C0C94" w14:paraId="04DFAC78" w14:textId="77777777" w:rsidTr="00B77502">
        <w:tc>
          <w:tcPr>
            <w:tcW w:w="2993" w:type="dxa"/>
            <w:shd w:val="clear" w:color="auto" w:fill="8DB3E2" w:themeFill="text2" w:themeFillTint="66"/>
          </w:tcPr>
          <w:p w14:paraId="17509A21" w14:textId="5275200A" w:rsidR="004F15A4" w:rsidRPr="005C0C94" w:rsidRDefault="004F15A4" w:rsidP="004F15A4">
            <w:pPr>
              <w:pStyle w:val="Tableheader"/>
            </w:pPr>
            <w:r>
              <w:t xml:space="preserve">Total </w:t>
            </w:r>
            <w:r w:rsidR="00E45137">
              <w:t>Allowable Catch</w:t>
            </w:r>
          </w:p>
        </w:tc>
        <w:tc>
          <w:tcPr>
            <w:tcW w:w="1499" w:type="dxa"/>
            <w:shd w:val="clear" w:color="auto" w:fill="D9D9D9" w:themeFill="background1" w:themeFillShade="D9"/>
          </w:tcPr>
          <w:p w14:paraId="0A35B092" w14:textId="786AD2B8" w:rsidR="004F15A4" w:rsidRPr="005C0C94" w:rsidRDefault="004F15A4" w:rsidP="00A44E4C">
            <w:pPr>
              <w:pStyle w:val="Tableheader"/>
            </w:pPr>
            <w:r w:rsidRPr="005C0C94">
              <w:t xml:space="preserve">Year </w:t>
            </w:r>
          </w:p>
        </w:tc>
        <w:tc>
          <w:tcPr>
            <w:tcW w:w="1501" w:type="dxa"/>
            <w:shd w:val="clear" w:color="auto" w:fill="auto"/>
          </w:tcPr>
          <w:p w14:paraId="48C37694" w14:textId="4D66BEEC" w:rsidR="004F15A4" w:rsidRPr="005C0C94" w:rsidRDefault="004F15A4" w:rsidP="00B01C99">
            <w:pPr>
              <w:pStyle w:val="Tabletext"/>
            </w:pPr>
          </w:p>
        </w:tc>
        <w:tc>
          <w:tcPr>
            <w:tcW w:w="1512" w:type="dxa"/>
            <w:shd w:val="clear" w:color="auto" w:fill="D9D9D9" w:themeFill="background1" w:themeFillShade="D9"/>
          </w:tcPr>
          <w:p w14:paraId="0DA8E5AF" w14:textId="77777777" w:rsidR="004F15A4" w:rsidRPr="005C0C94" w:rsidRDefault="004F15A4" w:rsidP="004F15A4">
            <w:pPr>
              <w:pStyle w:val="Tableheader"/>
            </w:pPr>
            <w:r w:rsidRPr="005C0C94">
              <w:t xml:space="preserve">Amount </w:t>
            </w:r>
          </w:p>
        </w:tc>
        <w:tc>
          <w:tcPr>
            <w:tcW w:w="1511" w:type="dxa"/>
            <w:shd w:val="clear" w:color="auto" w:fill="auto"/>
          </w:tcPr>
          <w:p w14:paraId="23801CDA" w14:textId="36153049" w:rsidR="004F15A4" w:rsidRPr="005C0C94" w:rsidRDefault="00A44E4C" w:rsidP="00B01C99">
            <w:pPr>
              <w:pStyle w:val="Tabletext"/>
            </w:pPr>
            <w:proofErr w:type="spellStart"/>
            <w:r>
              <w:t>n.a</w:t>
            </w:r>
            <w:proofErr w:type="spellEnd"/>
            <w:r>
              <w:t>.</w:t>
            </w:r>
          </w:p>
        </w:tc>
      </w:tr>
      <w:tr w:rsidR="004F15A4" w:rsidRPr="005C0C94" w14:paraId="373DD8B4" w14:textId="77777777" w:rsidTr="00B77502">
        <w:tc>
          <w:tcPr>
            <w:tcW w:w="2993" w:type="dxa"/>
            <w:shd w:val="clear" w:color="auto" w:fill="8DB3E2" w:themeFill="text2" w:themeFillTint="66"/>
          </w:tcPr>
          <w:p w14:paraId="13E81FD5" w14:textId="77777777" w:rsidR="004F15A4" w:rsidRPr="005C0C94" w:rsidRDefault="004F15A4" w:rsidP="004F15A4">
            <w:pPr>
              <w:pStyle w:val="Tableheader"/>
            </w:pPr>
            <w:r w:rsidRPr="005C0C94">
              <w:t xml:space="preserve">UoA share of </w:t>
            </w:r>
            <w:r>
              <w:t>catch</w:t>
            </w:r>
          </w:p>
        </w:tc>
        <w:tc>
          <w:tcPr>
            <w:tcW w:w="1499" w:type="dxa"/>
            <w:shd w:val="clear" w:color="auto" w:fill="D9D9D9" w:themeFill="background1" w:themeFillShade="D9"/>
          </w:tcPr>
          <w:p w14:paraId="4B19F69C" w14:textId="12F65952" w:rsidR="004F15A4" w:rsidRPr="005C0C94" w:rsidRDefault="004F15A4" w:rsidP="00D4021F">
            <w:pPr>
              <w:pStyle w:val="Tableheader"/>
            </w:pPr>
            <w:r w:rsidRPr="005C0C94">
              <w:t xml:space="preserve">Year </w:t>
            </w:r>
          </w:p>
        </w:tc>
        <w:tc>
          <w:tcPr>
            <w:tcW w:w="1501" w:type="dxa"/>
            <w:shd w:val="clear" w:color="auto" w:fill="auto"/>
          </w:tcPr>
          <w:p w14:paraId="3E169C68" w14:textId="0FCD53EB" w:rsidR="004F15A4" w:rsidRPr="005C0C94" w:rsidRDefault="00D4021F" w:rsidP="00B01C99">
            <w:pPr>
              <w:pStyle w:val="Tabletext"/>
            </w:pPr>
            <w:r>
              <w:t>2015</w:t>
            </w:r>
          </w:p>
        </w:tc>
        <w:tc>
          <w:tcPr>
            <w:tcW w:w="1512" w:type="dxa"/>
            <w:shd w:val="clear" w:color="auto" w:fill="D9D9D9" w:themeFill="background1" w:themeFillShade="D9"/>
          </w:tcPr>
          <w:p w14:paraId="047B248A" w14:textId="77777777" w:rsidR="004F15A4" w:rsidRPr="005C0C94" w:rsidRDefault="004F15A4" w:rsidP="004F15A4">
            <w:pPr>
              <w:pStyle w:val="Tableheader"/>
            </w:pPr>
            <w:r w:rsidRPr="005C0C94">
              <w:t xml:space="preserve">Amount </w:t>
            </w:r>
          </w:p>
        </w:tc>
        <w:tc>
          <w:tcPr>
            <w:tcW w:w="1511" w:type="dxa"/>
            <w:shd w:val="clear" w:color="auto" w:fill="auto"/>
          </w:tcPr>
          <w:p w14:paraId="0335850C" w14:textId="1AEC775F" w:rsidR="004F15A4" w:rsidRPr="005C0C94" w:rsidRDefault="005A14BE" w:rsidP="005A14BE">
            <w:pPr>
              <w:pStyle w:val="Tabletext"/>
            </w:pPr>
            <w:r>
              <w:t>11</w:t>
            </w:r>
            <w:r w:rsidR="00D4021F">
              <w:t>,200t</w:t>
            </w:r>
          </w:p>
        </w:tc>
      </w:tr>
      <w:tr w:rsidR="004F15A4" w:rsidRPr="005C0C94" w14:paraId="401D63A5" w14:textId="77777777" w:rsidTr="00B77502">
        <w:tc>
          <w:tcPr>
            <w:tcW w:w="2993" w:type="dxa"/>
            <w:shd w:val="clear" w:color="auto" w:fill="8DB3E2" w:themeFill="text2" w:themeFillTint="66"/>
          </w:tcPr>
          <w:p w14:paraId="5AAF45D6" w14:textId="77777777" w:rsidR="004F15A4" w:rsidRPr="005C0C94" w:rsidRDefault="004F15A4" w:rsidP="004F15A4">
            <w:pPr>
              <w:pStyle w:val="Tableheader"/>
            </w:pPr>
            <w:r>
              <w:t>UoC share of catch</w:t>
            </w:r>
          </w:p>
        </w:tc>
        <w:tc>
          <w:tcPr>
            <w:tcW w:w="1499" w:type="dxa"/>
            <w:shd w:val="clear" w:color="auto" w:fill="D9D9D9" w:themeFill="background1" w:themeFillShade="D9"/>
          </w:tcPr>
          <w:p w14:paraId="1117086C" w14:textId="77777777" w:rsidR="004F15A4" w:rsidRPr="005C0C94" w:rsidRDefault="004F15A4" w:rsidP="004F15A4">
            <w:pPr>
              <w:pStyle w:val="Tableheader"/>
            </w:pPr>
            <w:r w:rsidRPr="005C0C94">
              <w:t xml:space="preserve">Year </w:t>
            </w:r>
          </w:p>
        </w:tc>
        <w:tc>
          <w:tcPr>
            <w:tcW w:w="1501" w:type="dxa"/>
            <w:shd w:val="clear" w:color="auto" w:fill="auto"/>
          </w:tcPr>
          <w:p w14:paraId="3BAADD5E" w14:textId="028F71DD" w:rsidR="004F15A4" w:rsidRPr="005C0C94" w:rsidRDefault="00D4021F" w:rsidP="00B01C99">
            <w:pPr>
              <w:pStyle w:val="Tabletext"/>
            </w:pPr>
            <w:r>
              <w:t>2015</w:t>
            </w:r>
          </w:p>
        </w:tc>
        <w:tc>
          <w:tcPr>
            <w:tcW w:w="1512" w:type="dxa"/>
            <w:shd w:val="clear" w:color="auto" w:fill="D9D9D9" w:themeFill="background1" w:themeFillShade="D9"/>
          </w:tcPr>
          <w:p w14:paraId="24FB3997" w14:textId="77777777" w:rsidR="004F15A4" w:rsidRPr="005C0C94" w:rsidRDefault="004F15A4" w:rsidP="004F15A4">
            <w:pPr>
              <w:pStyle w:val="Tableheader"/>
            </w:pPr>
            <w:r w:rsidRPr="005C0C94">
              <w:t xml:space="preserve">Amount </w:t>
            </w:r>
          </w:p>
        </w:tc>
        <w:tc>
          <w:tcPr>
            <w:tcW w:w="1511" w:type="dxa"/>
            <w:shd w:val="clear" w:color="auto" w:fill="auto"/>
          </w:tcPr>
          <w:p w14:paraId="54DD128C" w14:textId="73F15DF8" w:rsidR="004F15A4" w:rsidRPr="005C0C94" w:rsidRDefault="005A14BE" w:rsidP="005A14BE">
            <w:pPr>
              <w:pStyle w:val="Tabletext"/>
            </w:pPr>
            <w:r>
              <w:t>7</w:t>
            </w:r>
            <w:r w:rsidR="00D4021F">
              <w:t>,441t</w:t>
            </w:r>
          </w:p>
        </w:tc>
      </w:tr>
      <w:tr w:rsidR="004F15A4" w:rsidRPr="005C0C94" w14:paraId="3A8815DA" w14:textId="77777777" w:rsidTr="00B77502">
        <w:trPr>
          <w:trHeight w:val="254"/>
        </w:trPr>
        <w:tc>
          <w:tcPr>
            <w:tcW w:w="2993" w:type="dxa"/>
            <w:shd w:val="clear" w:color="auto" w:fill="8DB3E2" w:themeFill="text2" w:themeFillTint="66"/>
          </w:tcPr>
          <w:p w14:paraId="4284822A" w14:textId="77777777" w:rsidR="004F15A4" w:rsidRPr="005C0C94" w:rsidRDefault="004F15A4" w:rsidP="004F15A4">
            <w:pPr>
              <w:pStyle w:val="Tableheader"/>
            </w:pPr>
            <w:r w:rsidRPr="005C0C94">
              <w:t>Total green weight catch by UoC</w:t>
            </w:r>
          </w:p>
        </w:tc>
        <w:tc>
          <w:tcPr>
            <w:tcW w:w="1499" w:type="dxa"/>
            <w:shd w:val="clear" w:color="auto" w:fill="D9D9D9" w:themeFill="background1" w:themeFillShade="D9"/>
          </w:tcPr>
          <w:p w14:paraId="70825B33" w14:textId="2ABC7963" w:rsidR="004F15A4" w:rsidRPr="005C0C94" w:rsidRDefault="004F15A4" w:rsidP="00D80B61">
            <w:pPr>
              <w:pStyle w:val="Tableheader"/>
            </w:pPr>
            <w:r w:rsidRPr="005C0C94">
              <w:t xml:space="preserve">Year </w:t>
            </w:r>
          </w:p>
        </w:tc>
        <w:tc>
          <w:tcPr>
            <w:tcW w:w="1501" w:type="dxa"/>
            <w:shd w:val="clear" w:color="auto" w:fill="auto"/>
          </w:tcPr>
          <w:p w14:paraId="53F19A7A" w14:textId="2ED15D66" w:rsidR="004F15A4" w:rsidRPr="005C0C94" w:rsidRDefault="00D4021F" w:rsidP="00B01C99">
            <w:pPr>
              <w:pStyle w:val="Tabletext"/>
            </w:pPr>
            <w:r>
              <w:t>2015</w:t>
            </w:r>
          </w:p>
        </w:tc>
        <w:tc>
          <w:tcPr>
            <w:tcW w:w="1512" w:type="dxa"/>
            <w:shd w:val="clear" w:color="auto" w:fill="D9D9D9" w:themeFill="background1" w:themeFillShade="D9"/>
          </w:tcPr>
          <w:p w14:paraId="76C02A56" w14:textId="77777777" w:rsidR="004F15A4" w:rsidRPr="005C0C94" w:rsidRDefault="004F15A4" w:rsidP="004F15A4">
            <w:pPr>
              <w:pStyle w:val="Tableheader"/>
            </w:pPr>
            <w:r w:rsidRPr="005C0C94">
              <w:t xml:space="preserve">Amount </w:t>
            </w:r>
          </w:p>
        </w:tc>
        <w:tc>
          <w:tcPr>
            <w:tcW w:w="1511" w:type="dxa"/>
            <w:shd w:val="clear" w:color="auto" w:fill="auto"/>
          </w:tcPr>
          <w:p w14:paraId="45251449" w14:textId="07C4A9E2" w:rsidR="004F15A4" w:rsidRPr="005C0C94" w:rsidRDefault="005A14BE" w:rsidP="005A14BE">
            <w:pPr>
              <w:pStyle w:val="Tabletext"/>
            </w:pPr>
            <w:r>
              <w:t>7</w:t>
            </w:r>
            <w:r w:rsidR="00D4021F">
              <w:t>,441t</w:t>
            </w:r>
          </w:p>
        </w:tc>
      </w:tr>
    </w:tbl>
    <w:p w14:paraId="78CDA1AC" w14:textId="77777777" w:rsidR="00F90DD6" w:rsidRDefault="00F90DD6" w:rsidP="00D343FD">
      <w:pPr>
        <w:rPr>
          <w:lang w:eastAsia="en-GB"/>
        </w:rPr>
      </w:pPr>
    </w:p>
    <w:p w14:paraId="5299A6CD" w14:textId="6D23BA98" w:rsidR="00041CE6" w:rsidRDefault="00927443" w:rsidP="00D343FD">
      <w:pPr>
        <w:rPr>
          <w:lang w:eastAsia="en-GB"/>
        </w:rPr>
      </w:pPr>
      <w:r w:rsidRPr="00927443">
        <w:rPr>
          <w:rFonts w:ascii="Arial" w:hAnsi="Arial" w:cs="Arial"/>
          <w:noProof/>
          <w:color w:val="000000"/>
          <w:sz w:val="24"/>
          <w:lang w:eastAsia="en-GB"/>
        </w:rPr>
        <mc:AlternateContent>
          <mc:Choice Requires="wpg">
            <w:drawing>
              <wp:anchor distT="0" distB="0" distL="114300" distR="114300" simplePos="0" relativeHeight="251668480" behindDoc="0" locked="0" layoutInCell="1" allowOverlap="1" wp14:anchorId="0EBA5262" wp14:editId="31F2518B">
                <wp:simplePos x="0" y="0"/>
                <wp:positionH relativeFrom="column">
                  <wp:posOffset>-81280</wp:posOffset>
                </wp:positionH>
                <wp:positionV relativeFrom="paragraph">
                  <wp:posOffset>345440</wp:posOffset>
                </wp:positionV>
                <wp:extent cx="5920105" cy="3683000"/>
                <wp:effectExtent l="0" t="0" r="23495" b="12700"/>
                <wp:wrapSquare wrapText="bothSides"/>
                <wp:docPr id="12" name="Group 12"/>
                <wp:cNvGraphicFramePr/>
                <a:graphic xmlns:a="http://schemas.openxmlformats.org/drawingml/2006/main">
                  <a:graphicData uri="http://schemas.microsoft.com/office/word/2010/wordprocessingGroup">
                    <wpg:wgp>
                      <wpg:cNvGrpSpPr/>
                      <wpg:grpSpPr>
                        <a:xfrm>
                          <a:off x="0" y="0"/>
                          <a:ext cx="5920105" cy="3683000"/>
                          <a:chOff x="0" y="0"/>
                          <a:chExt cx="5920237" cy="3683371"/>
                        </a:xfrm>
                      </wpg:grpSpPr>
                      <wps:wsp>
                        <wps:cNvPr id="3" name="Text Box 3"/>
                        <wps:cNvSpPr txBox="1"/>
                        <wps:spPr>
                          <a:xfrm>
                            <a:off x="0" y="8626"/>
                            <a:ext cx="2953385" cy="3674745"/>
                          </a:xfrm>
                          <a:prstGeom prst="rect">
                            <a:avLst/>
                          </a:prstGeom>
                          <a:solidFill>
                            <a:sysClr val="window" lastClr="FFFFFF"/>
                          </a:solidFill>
                          <a:ln w="6350">
                            <a:solidFill>
                              <a:prstClr val="black"/>
                            </a:solidFill>
                          </a:ln>
                          <a:effectLst/>
                        </wps:spPr>
                        <wps:txbx>
                          <w:txbxContent>
                            <w:p w14:paraId="7EF012CA" w14:textId="77777777" w:rsidR="00B77502" w:rsidRPr="0047443A" w:rsidRDefault="00B77502" w:rsidP="00927443">
                              <w:pPr>
                                <w:rPr>
                                  <w:b/>
                                  <w:sz w:val="20"/>
                                </w:rPr>
                              </w:pPr>
                              <w:r w:rsidRPr="0047443A">
                                <w:rPr>
                                  <w:b/>
                                  <w:sz w:val="20"/>
                                </w:rPr>
                                <w:t xml:space="preserve">Fig 1 – UK brown crab fisheries </w:t>
                              </w:r>
                            </w:p>
                            <w:p w14:paraId="5B0DD8E0" w14:textId="77777777" w:rsidR="00B77502" w:rsidRDefault="00B77502" w:rsidP="00927443">
                              <w:r>
                                <w:rPr>
                                  <w:noProof/>
                                  <w:lang w:eastAsia="en-GB"/>
                                </w:rPr>
                                <w:drawing>
                                  <wp:inline distT="0" distB="0" distL="0" distR="0" wp14:anchorId="3EF671F6" wp14:editId="0F7EBC91">
                                    <wp:extent cx="2700068" cy="2590348"/>
                                    <wp:effectExtent l="0" t="0" r="508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01523" cy="2591744"/>
                                            </a:xfrm>
                                            <a:prstGeom prst="rect">
                                              <a:avLst/>
                                            </a:prstGeom>
                                          </pic:spPr>
                                        </pic:pic>
                                      </a:graphicData>
                                    </a:graphic>
                                  </wp:inline>
                                </w:drawing>
                              </w:r>
                            </w:p>
                            <w:p w14:paraId="3D45EF34" w14:textId="77777777" w:rsidR="00B77502" w:rsidRPr="0047443A" w:rsidRDefault="00B77502" w:rsidP="00927443">
                              <w:pPr>
                                <w:rPr>
                                  <w:sz w:val="20"/>
                                </w:rPr>
                              </w:pPr>
                              <w:r w:rsidRPr="00083003">
                                <w:rPr>
                                  <w:b/>
                                  <w:sz w:val="20"/>
                                </w:rPr>
                                <w:t>Source:</w:t>
                              </w:r>
                              <w:r w:rsidRPr="0047443A">
                                <w:rPr>
                                  <w:sz w:val="20"/>
                                </w:rPr>
                                <w:t xml:space="preserve"> Bannister </w:t>
                              </w:r>
                              <w:r>
                                <w:rPr>
                                  <w:sz w:val="20"/>
                                </w:rPr>
                                <w:t>(</w:t>
                              </w:r>
                              <w:r w:rsidRPr="0047443A">
                                <w:rPr>
                                  <w:sz w:val="20"/>
                                </w:rPr>
                                <w:t>2009</w:t>
                              </w:r>
                              <w:r>
                                <w:rPr>
                                  <w:sz w:val="20"/>
                                </w:rPr>
                                <w:t>)</w:t>
                              </w:r>
                              <w:r w:rsidRPr="0047443A">
                                <w:rPr>
                                  <w:sz w:val="20"/>
                                </w:rPr>
                                <w:t xml:space="preserve"> – from Addison 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2967487" y="0"/>
                            <a:ext cx="2952750" cy="3674745"/>
                          </a:xfrm>
                          <a:prstGeom prst="rect">
                            <a:avLst/>
                          </a:prstGeom>
                          <a:solidFill>
                            <a:sysClr val="window" lastClr="FFFFFF"/>
                          </a:solidFill>
                          <a:ln w="6350">
                            <a:solidFill>
                              <a:prstClr val="black"/>
                            </a:solidFill>
                          </a:ln>
                          <a:effectLst/>
                        </wps:spPr>
                        <wps:txbx>
                          <w:txbxContent>
                            <w:p w14:paraId="0C14C41F" w14:textId="77777777" w:rsidR="00B77502" w:rsidRPr="00083003" w:rsidRDefault="00B77502" w:rsidP="00927443">
                              <w:pPr>
                                <w:rPr>
                                  <w:b/>
                                  <w:sz w:val="20"/>
                                </w:rPr>
                              </w:pPr>
                              <w:r w:rsidRPr="00083003">
                                <w:rPr>
                                  <w:b/>
                                  <w:sz w:val="20"/>
                                </w:rPr>
                                <w:t xml:space="preserve">Fig 2 – Average crab landings by </w:t>
                              </w:r>
                              <w:r>
                                <w:rPr>
                                  <w:b/>
                                  <w:sz w:val="20"/>
                                </w:rPr>
                                <w:t xml:space="preserve">English and Welsh vessels by </w:t>
                              </w:r>
                              <w:r w:rsidRPr="00083003">
                                <w:rPr>
                                  <w:b/>
                                  <w:sz w:val="20"/>
                                </w:rPr>
                                <w:t>ICES rectangle, 2006-2013</w:t>
                              </w:r>
                            </w:p>
                            <w:p w14:paraId="13B48AA4" w14:textId="77777777" w:rsidR="00B77502" w:rsidRDefault="00B77502" w:rsidP="00927443">
                              <w:pPr>
                                <w:jc w:val="right"/>
                              </w:pPr>
                              <w:r>
                                <w:rPr>
                                  <w:noProof/>
                                  <w:lang w:eastAsia="en-GB"/>
                                </w:rPr>
                                <w:drawing>
                                  <wp:inline distT="0" distB="0" distL="0" distR="0" wp14:anchorId="4615DD9D" wp14:editId="4FE3B1AB">
                                    <wp:extent cx="2432649" cy="2475628"/>
                                    <wp:effectExtent l="0" t="0" r="635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441136" cy="2484265"/>
                                            </a:xfrm>
                                            <a:prstGeom prst="rect">
                                              <a:avLst/>
                                            </a:prstGeom>
                                          </pic:spPr>
                                        </pic:pic>
                                      </a:graphicData>
                                    </a:graphic>
                                  </wp:inline>
                                </w:drawing>
                              </w:r>
                            </w:p>
                            <w:p w14:paraId="103783F5" w14:textId="77777777" w:rsidR="00B77502" w:rsidRPr="00083003" w:rsidRDefault="00B77502" w:rsidP="00927443">
                              <w:pPr>
                                <w:pStyle w:val="Default"/>
                                <w:rPr>
                                  <w:rFonts w:asciiTheme="majorHAnsi" w:hAnsiTheme="majorHAnsi" w:cstheme="majorHAnsi"/>
                                  <w:sz w:val="20"/>
                                </w:rPr>
                              </w:pPr>
                              <w:r w:rsidRPr="00083003">
                                <w:rPr>
                                  <w:rFonts w:asciiTheme="majorHAnsi" w:hAnsiTheme="majorHAnsi" w:cstheme="majorHAnsi"/>
                                  <w:b/>
                                  <w:sz w:val="20"/>
                                </w:rPr>
                                <w:t>Source:</w:t>
                              </w:r>
                              <w:r w:rsidRPr="00083003">
                                <w:rPr>
                                  <w:rFonts w:asciiTheme="majorHAnsi" w:hAnsiTheme="majorHAnsi" w:cstheme="majorHAnsi"/>
                                  <w:sz w:val="20"/>
                                </w:rPr>
                                <w:t xml:space="preserve"> Cefas (2014) Edible crab (</w:t>
                              </w:r>
                              <w:r w:rsidRPr="00083003">
                                <w:rPr>
                                  <w:rFonts w:asciiTheme="majorHAnsi" w:hAnsiTheme="majorHAnsi" w:cstheme="majorHAnsi"/>
                                  <w:i/>
                                  <w:sz w:val="20"/>
                                </w:rPr>
                                <w:t>Cancer pagurus</w:t>
                              </w:r>
                              <w:r w:rsidRPr="00083003">
                                <w:rPr>
                                  <w:rFonts w:asciiTheme="majorHAnsi" w:hAnsiTheme="majorHAnsi" w:cstheme="majorHAnsi"/>
                                  <w:sz w:val="20"/>
                                </w:rPr>
                                <w:t xml:space="preserve">) Stock Status Report 2014. </w:t>
                              </w:r>
                            </w:p>
                            <w:p w14:paraId="3CCE0155" w14:textId="77777777" w:rsidR="00B77502" w:rsidRDefault="00B77502" w:rsidP="009274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BA5262" id="Group 12" o:spid="_x0000_s1026" style="position:absolute;left:0;text-align:left;margin-left:-6.4pt;margin-top:27.2pt;width:466.15pt;height:290pt;z-index:251668480" coordsize="59202,36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B9I+wIAADYJAAAOAAAAZHJzL2Uyb0RvYy54bWzsVltv2yAUfp+0/4B4X53YSZxYdaqsW6pJ&#10;VVupnfpMML5oGBiQ2Nmv3wHbadpsD+ukvmx5IHA4nMvH+Q4+v2hrjnZMm0qKFI/PRhgxQWVWiSLF&#10;Xx/WH+YYGUtERrgULMV7ZvDF8v2780YlLJSl5BnTCIwIkzQqxaW1KgkCQ0tWE3MmFROwmUtdEwtL&#10;XQSZJg1Yr3kQjkazoJE6U1pSZgxIP3WbeOnt5zmj9jbPDbOIpxhis37Ufty4MViek6TQRJUV7cMg&#10;r4iiJpUApwdTn4glaKurE1N1RbU0MrdnVNaBzPOKMp8DZDMevcjmSsut8rkUSVOoA0wA7QucXm2W&#10;3uzuNKoyuLsQI0FquCPvFsEawGlUkYDOlVb36k73gqJbuXzbXNfuHzJBrYd1f4CVtRZREE4XLrcp&#10;RhT2otk8Go164GkJt3Nyjpafj06GUfx0MorHLqpgcBy4+A7hNAqKyDzhZP4Op/uSKObhNw6DHqdo&#10;gOnB5fdRtijqgPJKDiVkWxADooPcgPC3YM1n4cwpkmTAK1xMo2h+wCuexJPps6xJorSxV0zWyE1S&#10;rKHOffmR3bWxHUCDirNsJK+ydcW5X+zNJddoR4ASwKRMNhhxYiwIU7z2v97bs2NcoCbFs2g68p6e&#10;7TlfB5sbTui3UwtwZ1z4ND0t+zjdlXXwuJltN62vMZNsZLYHKLXsKGsUXVfg5RoCvSMaOApshr5j&#10;b2HIuYTQZD/DqJT6x6/kTh9KAnYxaoDzKTbft0QzyP+LgGJZjCcT1yT8YjKNQ1jo453N8Y7Y1pcS&#10;MBxDh1PUT52+5cM017J+hPa0cl5hiwgKvlNsh+ml7ToRtDfKViuvBG1BEXst7hV1ph1gDt2H9pFo&#10;1V+3hUq5kUN5kuTFrXe67qSQq62VeeVLwgHcoQoE6qniCP4GnBlD9l1vOZAGRP1NA7X+hDXhYhZP&#10;5tATThsNECeMoT77RvOPEafr4gOq//nzNvzxLxA8zv5R6j8k3Ot/vPZ8e/rcWf4EAAD//wMAUEsD&#10;BBQABgAIAAAAIQDD3l7D4QAAAAoBAAAPAAAAZHJzL2Rvd25yZXYueG1sTI9Ba8JAEIXvhf6HZQq9&#10;6SZqpKbZiEjbkxSqBfG2ZsckmJ0N2TWJ/77TU3ucN4/3vpetR9uIHjtfO1IQTyMQSIUzNZUKvg/v&#10;kxcQPmgyunGECu7oYZ0/PmQ6NW6gL+z3oRQcQj7VCqoQ2lRKX1RotZ+6Fol/F9dZHfjsSmk6PXC4&#10;beQsipbS6pq4odItbissrvubVfAx6GEzj9/63fWyvZ8OyedxF6NSz0/j5hVEwDH8meEXn9EhZ6az&#10;u5HxolEwiWeMHhQkiwUINqziVQLirGA5Z0Xmmfw/If8BAAD//wMAUEsBAi0AFAAGAAgAAAAhALaD&#10;OJL+AAAA4QEAABMAAAAAAAAAAAAAAAAAAAAAAFtDb250ZW50X1R5cGVzXS54bWxQSwECLQAUAAYA&#10;CAAAACEAOP0h/9YAAACUAQAACwAAAAAAAAAAAAAAAAAvAQAAX3JlbHMvLnJlbHNQSwECLQAUAAYA&#10;CAAAACEAXLAfSPsCAAA2CQAADgAAAAAAAAAAAAAAAAAuAgAAZHJzL2Uyb0RvYy54bWxQSwECLQAU&#10;AAYACAAAACEAw95ew+EAAAAKAQAADwAAAAAAAAAAAAAAAABVBQAAZHJzL2Rvd25yZXYueG1sUEsF&#10;BgAAAAAEAAQA8wAAAGMGAAAAAA==&#10;">
                <v:shapetype id="_x0000_t202" coordsize="21600,21600" o:spt="202" path="m,l,21600r21600,l21600,xe">
                  <v:stroke joinstyle="miter"/>
                  <v:path gradientshapeok="t" o:connecttype="rect"/>
                </v:shapetype>
                <v:shape id="Text Box 3" o:spid="_x0000_s1027" type="#_x0000_t202" style="position:absolute;top:86;width:29533;height:36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qdxwQAAANoAAAAPAAAAZHJzL2Rvd25yZXYueG1sRI9BawIx&#10;FITvhf6H8ArearYWxK5GkYLgpYhbD/X2SJ670c3Lsonr6q83gtDjMDPfMLNF72rRURusZwUfwwwE&#10;sfbGcqlg97t6n4AIEdlg7ZkUXCnAYv76MsPc+AtvqStiKRKEQ44KqhibXMqgK3IYhr4hTt7Btw5j&#10;km0pTYuXBHe1HGXZWDq0nBYqbOi7In0qzk6B4T/Pem9/bpYLbb9um8lRd0oN3vrlFESkPv6Hn+21&#10;UfAJjyvpBsj5HQAA//8DAFBLAQItABQABgAIAAAAIQDb4fbL7gAAAIUBAAATAAAAAAAAAAAAAAAA&#10;AAAAAABbQ29udGVudF9UeXBlc10ueG1sUEsBAi0AFAAGAAgAAAAhAFr0LFu/AAAAFQEAAAsAAAAA&#10;AAAAAAAAAAAAHwEAAF9yZWxzLy5yZWxzUEsBAi0AFAAGAAgAAAAhAGPap3HBAAAA2gAAAA8AAAAA&#10;AAAAAAAAAAAABwIAAGRycy9kb3ducmV2LnhtbFBLBQYAAAAAAwADALcAAAD1AgAAAAA=&#10;" fillcolor="window" strokeweight=".5pt">
                  <v:textbox>
                    <w:txbxContent>
                      <w:p w14:paraId="7EF012CA" w14:textId="77777777" w:rsidR="00B77502" w:rsidRPr="0047443A" w:rsidRDefault="00B77502" w:rsidP="00927443">
                        <w:pPr>
                          <w:rPr>
                            <w:b/>
                            <w:sz w:val="20"/>
                          </w:rPr>
                        </w:pPr>
                        <w:r w:rsidRPr="0047443A">
                          <w:rPr>
                            <w:b/>
                            <w:sz w:val="20"/>
                          </w:rPr>
                          <w:t xml:space="preserve">Fig 1 – UK brown crab fisheries </w:t>
                        </w:r>
                      </w:p>
                      <w:p w14:paraId="5B0DD8E0" w14:textId="77777777" w:rsidR="00B77502" w:rsidRDefault="00B77502" w:rsidP="00927443">
                        <w:r>
                          <w:rPr>
                            <w:noProof/>
                            <w:lang w:eastAsia="en-GB"/>
                          </w:rPr>
                          <w:drawing>
                            <wp:inline distT="0" distB="0" distL="0" distR="0" wp14:anchorId="3EF671F6" wp14:editId="0F7EBC91">
                              <wp:extent cx="2700068" cy="2590348"/>
                              <wp:effectExtent l="0" t="0" r="508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01523" cy="2591744"/>
                                      </a:xfrm>
                                      <a:prstGeom prst="rect">
                                        <a:avLst/>
                                      </a:prstGeom>
                                    </pic:spPr>
                                  </pic:pic>
                                </a:graphicData>
                              </a:graphic>
                            </wp:inline>
                          </w:drawing>
                        </w:r>
                      </w:p>
                      <w:p w14:paraId="3D45EF34" w14:textId="77777777" w:rsidR="00B77502" w:rsidRPr="0047443A" w:rsidRDefault="00B77502" w:rsidP="00927443">
                        <w:pPr>
                          <w:rPr>
                            <w:sz w:val="20"/>
                          </w:rPr>
                        </w:pPr>
                        <w:r w:rsidRPr="00083003">
                          <w:rPr>
                            <w:b/>
                            <w:sz w:val="20"/>
                          </w:rPr>
                          <w:t>Source:</w:t>
                        </w:r>
                        <w:r w:rsidRPr="0047443A">
                          <w:rPr>
                            <w:sz w:val="20"/>
                          </w:rPr>
                          <w:t xml:space="preserve"> Bannister </w:t>
                        </w:r>
                        <w:r>
                          <w:rPr>
                            <w:sz w:val="20"/>
                          </w:rPr>
                          <w:t>(</w:t>
                        </w:r>
                        <w:r w:rsidRPr="0047443A">
                          <w:rPr>
                            <w:sz w:val="20"/>
                          </w:rPr>
                          <w:t>2009</w:t>
                        </w:r>
                        <w:r>
                          <w:rPr>
                            <w:sz w:val="20"/>
                          </w:rPr>
                          <w:t>)</w:t>
                        </w:r>
                        <w:r w:rsidRPr="0047443A">
                          <w:rPr>
                            <w:sz w:val="20"/>
                          </w:rPr>
                          <w:t xml:space="preserve"> – from Addison 2004</w:t>
                        </w:r>
                      </w:p>
                    </w:txbxContent>
                  </v:textbox>
                </v:shape>
                <v:shape id="Text Box 10" o:spid="_x0000_s1028" type="#_x0000_t202" style="position:absolute;left:29674;width:29528;height:36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q02wwAAANsAAAAPAAAAZHJzL2Rvd25yZXYueG1sRI9Bb8Iw&#10;DIXvk/YfIk/iNlJ2QKwQEEKatMs00e0ANysxbaBxqiYrhV8/HybtZus9v/d5tRlDqwbqk49sYDYt&#10;QBHb6DzXBr6/3p4XoFJGdthGJgM3SrBZPz6ssHTxynsaqlwrCeFUooEm567UOtmGAqZp7IhFO8U+&#10;YJa1r7Xr8SrhodUvRTHXAT1LQ4Md7Rqyl+onGHB8iGyP/uPuubL+9f65ONvBmMnTuF2CyjTmf/Pf&#10;9bsTfKGXX2QAvf4FAAD//wMAUEsBAi0AFAAGAAgAAAAhANvh9svuAAAAhQEAABMAAAAAAAAAAAAA&#10;AAAAAAAAAFtDb250ZW50X1R5cGVzXS54bWxQSwECLQAUAAYACAAAACEAWvQsW78AAAAVAQAACwAA&#10;AAAAAAAAAAAAAAAfAQAAX3JlbHMvLnJlbHNQSwECLQAUAAYACAAAACEAwLqtNsMAAADbAAAADwAA&#10;AAAAAAAAAAAAAAAHAgAAZHJzL2Rvd25yZXYueG1sUEsFBgAAAAADAAMAtwAAAPcCAAAAAA==&#10;" fillcolor="window" strokeweight=".5pt">
                  <v:textbox>
                    <w:txbxContent>
                      <w:p w14:paraId="0C14C41F" w14:textId="77777777" w:rsidR="00B77502" w:rsidRPr="00083003" w:rsidRDefault="00B77502" w:rsidP="00927443">
                        <w:pPr>
                          <w:rPr>
                            <w:b/>
                            <w:sz w:val="20"/>
                          </w:rPr>
                        </w:pPr>
                        <w:r w:rsidRPr="00083003">
                          <w:rPr>
                            <w:b/>
                            <w:sz w:val="20"/>
                          </w:rPr>
                          <w:t xml:space="preserve">Fig 2 – Average crab landings by </w:t>
                        </w:r>
                        <w:r>
                          <w:rPr>
                            <w:b/>
                            <w:sz w:val="20"/>
                          </w:rPr>
                          <w:t xml:space="preserve">English and Welsh vessels by </w:t>
                        </w:r>
                        <w:r w:rsidRPr="00083003">
                          <w:rPr>
                            <w:b/>
                            <w:sz w:val="20"/>
                          </w:rPr>
                          <w:t>ICES rectangle, 2006-2013</w:t>
                        </w:r>
                      </w:p>
                      <w:p w14:paraId="13B48AA4" w14:textId="77777777" w:rsidR="00B77502" w:rsidRDefault="00B77502" w:rsidP="00927443">
                        <w:pPr>
                          <w:jc w:val="right"/>
                        </w:pPr>
                        <w:r>
                          <w:rPr>
                            <w:noProof/>
                            <w:lang w:eastAsia="en-GB"/>
                          </w:rPr>
                          <w:drawing>
                            <wp:inline distT="0" distB="0" distL="0" distR="0" wp14:anchorId="4615DD9D" wp14:editId="4FE3B1AB">
                              <wp:extent cx="2432649" cy="2475628"/>
                              <wp:effectExtent l="0" t="0" r="635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441136" cy="2484265"/>
                                      </a:xfrm>
                                      <a:prstGeom prst="rect">
                                        <a:avLst/>
                                      </a:prstGeom>
                                    </pic:spPr>
                                  </pic:pic>
                                </a:graphicData>
                              </a:graphic>
                            </wp:inline>
                          </w:drawing>
                        </w:r>
                      </w:p>
                      <w:p w14:paraId="103783F5" w14:textId="77777777" w:rsidR="00B77502" w:rsidRPr="00083003" w:rsidRDefault="00B77502" w:rsidP="00927443">
                        <w:pPr>
                          <w:pStyle w:val="Default"/>
                          <w:rPr>
                            <w:rFonts w:asciiTheme="majorHAnsi" w:hAnsiTheme="majorHAnsi" w:cstheme="majorHAnsi"/>
                            <w:sz w:val="20"/>
                          </w:rPr>
                        </w:pPr>
                        <w:r w:rsidRPr="00083003">
                          <w:rPr>
                            <w:rFonts w:asciiTheme="majorHAnsi" w:hAnsiTheme="majorHAnsi" w:cstheme="majorHAnsi"/>
                            <w:b/>
                            <w:sz w:val="20"/>
                          </w:rPr>
                          <w:t>Source:</w:t>
                        </w:r>
                        <w:r w:rsidRPr="00083003">
                          <w:rPr>
                            <w:rFonts w:asciiTheme="majorHAnsi" w:hAnsiTheme="majorHAnsi" w:cstheme="majorHAnsi"/>
                            <w:sz w:val="20"/>
                          </w:rPr>
                          <w:t xml:space="preserve"> Cefas (2014) Edible crab (</w:t>
                        </w:r>
                        <w:r w:rsidRPr="00083003">
                          <w:rPr>
                            <w:rFonts w:asciiTheme="majorHAnsi" w:hAnsiTheme="majorHAnsi" w:cstheme="majorHAnsi"/>
                            <w:i/>
                            <w:sz w:val="20"/>
                          </w:rPr>
                          <w:t>Cancer pagurus</w:t>
                        </w:r>
                        <w:r w:rsidRPr="00083003">
                          <w:rPr>
                            <w:rFonts w:asciiTheme="majorHAnsi" w:hAnsiTheme="majorHAnsi" w:cstheme="majorHAnsi"/>
                            <w:sz w:val="20"/>
                          </w:rPr>
                          <w:t xml:space="preserve">) Stock Status Report 2014. </w:t>
                        </w:r>
                      </w:p>
                      <w:p w14:paraId="3CCE0155" w14:textId="77777777" w:rsidR="00B77502" w:rsidRDefault="00B77502" w:rsidP="00927443"/>
                    </w:txbxContent>
                  </v:textbox>
                </v:shape>
                <w10:wrap type="square"/>
              </v:group>
            </w:pict>
          </mc:Fallback>
        </mc:AlternateContent>
      </w:r>
    </w:p>
    <w:p w14:paraId="76B88CDD" w14:textId="77777777" w:rsidR="00A123D1" w:rsidRPr="005C0C94" w:rsidRDefault="00E61936" w:rsidP="00346B89">
      <w:pPr>
        <w:pStyle w:val="Heading1"/>
        <w:numPr>
          <w:ilvl w:val="0"/>
          <w:numId w:val="3"/>
        </w:numPr>
        <w:rPr>
          <w:rFonts w:eastAsia="Calibri"/>
        </w:rPr>
      </w:pPr>
      <w:bookmarkStart w:id="22" w:name="_Toc292723256"/>
      <w:bookmarkStart w:id="23" w:name="_Toc372551817"/>
      <w:bookmarkStart w:id="24" w:name="_Toc469259571"/>
      <w:r w:rsidRPr="005C0C94">
        <w:rPr>
          <w:rFonts w:eastAsia="Calibri"/>
        </w:rPr>
        <w:lastRenderedPageBreak/>
        <w:t>D</w:t>
      </w:r>
      <w:r w:rsidR="00A123D1" w:rsidRPr="005C0C94">
        <w:rPr>
          <w:rFonts w:eastAsia="Calibri"/>
        </w:rPr>
        <w:t>escription of the fishery</w:t>
      </w:r>
      <w:bookmarkEnd w:id="22"/>
      <w:bookmarkEnd w:id="23"/>
      <w:bookmarkEnd w:id="24"/>
    </w:p>
    <w:p w14:paraId="2100E596" w14:textId="77777777" w:rsidR="00CE3F08" w:rsidRPr="005C0C94" w:rsidRDefault="00CE3F08" w:rsidP="00030620">
      <w:pPr>
        <w:pStyle w:val="Heading2"/>
      </w:pPr>
      <w:bookmarkStart w:id="25" w:name="_Toc372551818"/>
      <w:bookmarkStart w:id="26" w:name="_Toc469259572"/>
      <w:r w:rsidRPr="005C0C94">
        <w:t>Scope of the fishery in relation to the MSC programme</w:t>
      </w:r>
      <w:bookmarkEnd w:id="25"/>
      <w:bookmarkEnd w:id="26"/>
    </w:p>
    <w:p w14:paraId="5B0B0A37" w14:textId="65845337" w:rsidR="006816A8" w:rsidRDefault="003C62C9" w:rsidP="006816A8">
      <w:pPr>
        <w:pStyle w:val="ListBullet"/>
      </w:pPr>
      <w:r>
        <w:rPr>
          <w:lang w:eastAsia="en-GB"/>
        </w:rPr>
        <w:t>The fishery under assessment is within scope of the MSC program as defined in FCR v2 Section 7.4.11 (i.e. the target species is not from the following taxa: amphibians, reptiles, birds or mammals</w:t>
      </w:r>
      <w:r w:rsidR="006816A8">
        <w:rPr>
          <w:lang w:eastAsia="en-GB"/>
        </w:rPr>
        <w:t xml:space="preserve">; </w:t>
      </w:r>
      <w:r w:rsidR="006816A8">
        <w:t>the fishery is not being conducted under a controversial unilateral exemption to an international agreement</w:t>
      </w:r>
      <w:r w:rsidR="00C93331">
        <w:t>,</w:t>
      </w:r>
      <w:r w:rsidR="006816A8">
        <w:t xml:space="preserve"> nor does the fishery use destructive fishing practices such as poisons or explosives </w:t>
      </w:r>
      <w:r w:rsidR="00EA21FC">
        <w:t xml:space="preserve">- </w:t>
      </w:r>
      <w:r w:rsidR="006816A8">
        <w:t>such fisheries would automatically fail the MSC standard).</w:t>
      </w:r>
    </w:p>
    <w:p w14:paraId="555169F3" w14:textId="77777777" w:rsidR="006816A8" w:rsidRDefault="006816A8" w:rsidP="006816A8">
      <w:pPr>
        <w:pStyle w:val="Heading2"/>
      </w:pPr>
      <w:bookmarkStart w:id="27" w:name="_Toc469259573"/>
      <w:r>
        <w:t>Introduced Species / Inseparable Stocks (IPI) / Enhanced Fishery / Low Trophic</w:t>
      </w:r>
      <w:bookmarkEnd w:id="27"/>
    </w:p>
    <w:p w14:paraId="2F5A6512" w14:textId="64516E04" w:rsidR="006816A8" w:rsidRDefault="006816A8" w:rsidP="006816A8">
      <w:r>
        <w:t xml:space="preserve">These MSC policies do not apply in the case of this fishery and no adjustments to the standard assessment procedure will therefore be required to include these.  The fishery does not target non-native or introduced species therefore the MSC Introduced Species Requirements do not apply. The species caught are easily recognizable and can </w:t>
      </w:r>
      <w:r w:rsidR="0081111A">
        <w:t xml:space="preserve">be </w:t>
      </w:r>
      <w:r>
        <w:t xml:space="preserve">separated and recorded accurately. And no fishery enhancement techniques (such as artificial reefs) are employed. </w:t>
      </w:r>
      <w:r w:rsidRPr="00D4021F">
        <w:t>Finally, the species is not classified as a Key low trophic species.</w:t>
      </w:r>
      <w:r>
        <w:t xml:space="preserve"> </w:t>
      </w:r>
    </w:p>
    <w:p w14:paraId="7B1CDCB7" w14:textId="77777777" w:rsidR="00341897" w:rsidRDefault="00341897" w:rsidP="00030620">
      <w:pPr>
        <w:pStyle w:val="Heading2"/>
      </w:pPr>
      <w:bookmarkStart w:id="28" w:name="_Toc292723257"/>
      <w:bookmarkStart w:id="29" w:name="_Toc372551819"/>
      <w:bookmarkStart w:id="30" w:name="_Toc469259574"/>
      <w:bookmarkStart w:id="31" w:name="_Toc292723261"/>
      <w:r w:rsidRPr="005C0C94">
        <w:t>Overview of the fishery</w:t>
      </w:r>
      <w:bookmarkEnd w:id="28"/>
      <w:bookmarkEnd w:id="29"/>
      <w:bookmarkEnd w:id="30"/>
    </w:p>
    <w:bookmarkStart w:id="32" w:name="_Toc292723259"/>
    <w:bookmarkStart w:id="33" w:name="_Toc372551821"/>
    <w:bookmarkEnd w:id="31"/>
    <w:p w14:paraId="2030053F" w14:textId="37FD72EA" w:rsidR="006F4301" w:rsidRDefault="00927443" w:rsidP="0094023F">
      <w:r>
        <w:rPr>
          <w:noProof/>
          <w:lang w:eastAsia="en-GB"/>
        </w:rPr>
        <mc:AlternateContent>
          <mc:Choice Requires="wpg">
            <w:drawing>
              <wp:anchor distT="0" distB="0" distL="114300" distR="114300" simplePos="0" relativeHeight="251666432" behindDoc="0" locked="0" layoutInCell="1" allowOverlap="1" wp14:anchorId="3A1277D0" wp14:editId="112E51EE">
                <wp:simplePos x="0" y="0"/>
                <wp:positionH relativeFrom="column">
                  <wp:posOffset>-25400</wp:posOffset>
                </wp:positionH>
                <wp:positionV relativeFrom="paragraph">
                  <wp:posOffset>2797810</wp:posOffset>
                </wp:positionV>
                <wp:extent cx="5899785" cy="2477135"/>
                <wp:effectExtent l="0" t="0" r="24765" b="18415"/>
                <wp:wrapSquare wrapText="bothSides"/>
                <wp:docPr id="13" name="Group 13"/>
                <wp:cNvGraphicFramePr/>
                <a:graphic xmlns:a="http://schemas.openxmlformats.org/drawingml/2006/main">
                  <a:graphicData uri="http://schemas.microsoft.com/office/word/2010/wordprocessingGroup">
                    <wpg:wgp>
                      <wpg:cNvGrpSpPr/>
                      <wpg:grpSpPr>
                        <a:xfrm>
                          <a:off x="0" y="0"/>
                          <a:ext cx="5899785" cy="2477135"/>
                          <a:chOff x="0" y="0"/>
                          <a:chExt cx="5899869" cy="2477506"/>
                        </a:xfrm>
                      </wpg:grpSpPr>
                      <wps:wsp>
                        <wps:cNvPr id="1" name="Text Box 1"/>
                        <wps:cNvSpPr txBox="1"/>
                        <wps:spPr>
                          <a:xfrm>
                            <a:off x="0" y="8626"/>
                            <a:ext cx="2541905" cy="2468880"/>
                          </a:xfrm>
                          <a:prstGeom prst="rect">
                            <a:avLst/>
                          </a:prstGeom>
                          <a:solidFill>
                            <a:sysClr val="window" lastClr="FFFFFF"/>
                          </a:solidFill>
                          <a:ln w="6350">
                            <a:solidFill>
                              <a:prstClr val="black"/>
                            </a:solidFill>
                          </a:ln>
                          <a:effectLst/>
                        </wps:spPr>
                        <wps:txbx>
                          <w:txbxContent>
                            <w:p w14:paraId="70053CDA" w14:textId="75FC7996" w:rsidR="00B77502" w:rsidRPr="00041CE6" w:rsidRDefault="00B77502" w:rsidP="00927443">
                              <w:pPr>
                                <w:jc w:val="left"/>
                                <w:rPr>
                                  <w:b/>
                                  <w:sz w:val="20"/>
                                </w:rPr>
                              </w:pPr>
                              <w:r w:rsidRPr="00041CE6">
                                <w:rPr>
                                  <w:b/>
                                  <w:sz w:val="20"/>
                                </w:rPr>
                                <w:t xml:space="preserve">Fig </w:t>
                              </w:r>
                              <w:r>
                                <w:rPr>
                                  <w:b/>
                                  <w:sz w:val="20"/>
                                </w:rPr>
                                <w:t>3</w:t>
                              </w:r>
                              <w:r w:rsidRPr="00041CE6">
                                <w:rPr>
                                  <w:b/>
                                  <w:sz w:val="20"/>
                                </w:rPr>
                                <w:t xml:space="preserve"> – Stock unit areas Western Channel (</w:t>
                              </w:r>
                              <w:proofErr w:type="spellStart"/>
                              <w:r w:rsidRPr="00041CE6">
                                <w:rPr>
                                  <w:b/>
                                  <w:sz w:val="20"/>
                                </w:rPr>
                                <w:t>VIId</w:t>
                              </w:r>
                              <w:proofErr w:type="spellEnd"/>
                              <w:r w:rsidRPr="00041CE6">
                                <w:rPr>
                                  <w:b/>
                                  <w:sz w:val="20"/>
                                </w:rPr>
                                <w:t>, e, h) &amp; Celtic Sea (</w:t>
                              </w:r>
                              <w:proofErr w:type="spellStart"/>
                              <w:r w:rsidRPr="00041CE6">
                                <w:rPr>
                                  <w:b/>
                                  <w:sz w:val="20"/>
                                </w:rPr>
                                <w:t>VIIf</w:t>
                              </w:r>
                              <w:proofErr w:type="spellEnd"/>
                              <w:r w:rsidRPr="00041CE6">
                                <w:rPr>
                                  <w:b/>
                                  <w:sz w:val="20"/>
                                </w:rPr>
                                <w:t xml:space="preserve"> &amp; g)</w:t>
                              </w:r>
                            </w:p>
                            <w:p w14:paraId="13FC6B0A" w14:textId="77777777" w:rsidR="00B77502" w:rsidRDefault="00B77502" w:rsidP="00927443">
                              <w:r>
                                <w:rPr>
                                  <w:noProof/>
                                  <w:lang w:eastAsia="en-GB"/>
                                </w:rPr>
                                <w:drawing>
                                  <wp:inline distT="0" distB="0" distL="0" distR="0" wp14:anchorId="6AEC5A00" wp14:editId="08458F24">
                                    <wp:extent cx="2407080" cy="1923691"/>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415755" cy="1930624"/>
                                            </a:xfrm>
                                            <a:prstGeom prst="rect">
                                              <a:avLst/>
                                            </a:prstGeom>
                                          </pic:spPr>
                                        </pic:pic>
                                      </a:graphicData>
                                    </a:graphic>
                                  </wp:inline>
                                </w:drawing>
                              </w:r>
                            </w:p>
                            <w:p w14:paraId="55A30B10" w14:textId="77777777" w:rsidR="00B77502" w:rsidRDefault="00B77502" w:rsidP="009274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2553419" y="0"/>
                            <a:ext cx="3346450" cy="2468880"/>
                          </a:xfrm>
                          <a:prstGeom prst="rect">
                            <a:avLst/>
                          </a:prstGeom>
                          <a:solidFill>
                            <a:sysClr val="window" lastClr="FFFFFF"/>
                          </a:solidFill>
                          <a:ln w="6350">
                            <a:solidFill>
                              <a:prstClr val="black"/>
                            </a:solidFill>
                          </a:ln>
                          <a:effectLst/>
                        </wps:spPr>
                        <wps:txbx>
                          <w:txbxContent>
                            <w:p w14:paraId="6F910329" w14:textId="08D9A6E2" w:rsidR="00B77502" w:rsidRPr="00A36267" w:rsidRDefault="00B77502" w:rsidP="00927443">
                              <w:pPr>
                                <w:rPr>
                                  <w:b/>
                                  <w:sz w:val="20"/>
                                </w:rPr>
                              </w:pPr>
                              <w:r w:rsidRPr="00A36267">
                                <w:rPr>
                                  <w:b/>
                                  <w:sz w:val="20"/>
                                </w:rPr>
                                <w:t xml:space="preserve">Fig </w:t>
                              </w:r>
                              <w:r>
                                <w:rPr>
                                  <w:b/>
                                  <w:sz w:val="20"/>
                                </w:rPr>
                                <w:t>4</w:t>
                              </w:r>
                              <w:r w:rsidRPr="00A36267">
                                <w:rPr>
                                  <w:b/>
                                  <w:sz w:val="20"/>
                                </w:rPr>
                                <w:t xml:space="preserve"> – IFCA areas within Unit of Assessment</w:t>
                              </w:r>
                            </w:p>
                            <w:p w14:paraId="293326BE" w14:textId="48BD0B06" w:rsidR="00B77502" w:rsidRDefault="00B77502" w:rsidP="00927443">
                              <w:r>
                                <w:rPr>
                                  <w:noProof/>
                                  <w:lang w:eastAsia="en-GB"/>
                                </w:rPr>
                                <w:drawing>
                                  <wp:inline distT="0" distB="0" distL="0" distR="0" wp14:anchorId="175CCEC2" wp14:editId="18C95AFD">
                                    <wp:extent cx="3157220" cy="2054839"/>
                                    <wp:effectExtent l="0" t="0" r="508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157220" cy="2054839"/>
                                            </a:xfrm>
                                            <a:prstGeom prst="rect">
                                              <a:avLst/>
                                            </a:prstGeom>
                                          </pic:spPr>
                                        </pic:pic>
                                      </a:graphicData>
                                    </a:graphic>
                                  </wp:inline>
                                </w:drawing>
                              </w:r>
                            </w:p>
                            <w:p w14:paraId="2A62219D" w14:textId="77777777" w:rsidR="00B77502" w:rsidRDefault="00B77502" w:rsidP="009274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1277D0" id="Group 13" o:spid="_x0000_s1029" style="position:absolute;left:0;text-align:left;margin-left:-2pt;margin-top:220.3pt;width:464.55pt;height:195.05pt;z-index:251666432" coordsize="58998,2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3Fw+wIAADsJAAAOAAAAZHJzL2Uyb0RvYy54bWzsVt9v0zAQfkfif7D8zpKmTZtGS6cy6IQ0&#10;bZM2tGfXcZoIxza226T89ZydpOtWeGAIXqAPqX1n34/v7rvk/KKtOdoxbSopMjw6CzFigsq8EpsM&#10;f35YvUswMpaInHApWIb3zOCLxds3541KWSRLyXOmERgRJm1UhktrVRoEhpasJuZMKiZAWUhdEwtb&#10;vQlyTRqwXvMgCsNp0EidKy0pMwakHzolXnj7RcGovS0KwyziGYbYrH9q/1y7Z7A4J+lGE1VWtA+D&#10;vCKKmlQCnB5MfSCWoK2uTkzVFdXSyMKeUVkHsigqynwOkM0ofJHNlZZb5XPZpM1GHWACaF/g9Gqz&#10;9GZ3p1GVQ+3GGAlSQ428WwR7AKdRmxTOXGl1r+50L9h0O5dvW+ja/UMmqPWw7g+wstYiCsI4mc9n&#10;SYwRBV00mc1G47gDnpZQnZN7tPx4dDOZzp9uxuHU3QwGx4GL7xBOo6CJzBNO5vdwui+JYh5+4zAY&#10;cBpgenD5vZctGnVA+UMOJWRbEAOig9yA8KdgJdPI50TSAa8onozm4QGvaZIkvlEPWZNUaWOvmKyR&#10;W2RYQ5/79iO7a2M7gIYjzrGRvMpXFed+szeXXKMdAUoAk3LZYMSJsSDM8Mr/eoyfXeMCNRmejuPQ&#10;e3qmc74ONtec0C+nFiB6Lpx/5mnZx+lK1sHjVrZdt74ZowG6tcz3gKiWHXONoqsKnF1DvHdEA1WB&#10;1DB+7C08Ci4hQtmvMCql/vYjuTsPnQFajBqgfobN1y3RDGD4JKBn5qPJxM0Kv5nEswg2+lizPtaI&#10;bX0pAcoRDDpF/dKdt3xYFlrWjzClls4rqIig4DvDdlhe2m4gwZSjbLn0h2A6KGKvxb2izrTDzYH8&#10;0D4SrfqqW2iYGzl0KUlfFL87624KudxaWVS+MxzOHarAo54xjud/gTqzE+rMhjoDv36FOlEcj4Ek&#10;GJ1Om/F4Mp1Ak/bT5l9kTz+5hzr/Z8+fZo9/DcEb2r+Z+q8J9wlwvPdse/rmWXwHAAD//wMAUEsD&#10;BBQABgAIAAAAIQBsyyv74gAAAAoBAAAPAAAAZHJzL2Rvd25yZXYueG1sTI9Ba8JAFITvhf6H5RV6&#10;0000WptmIyJtTyJUC6W3Z/aZBLNvQ3ZN4r/v9tQehxlmvsnWo2lET52rLSuIpxEI4sLqmksFn8e3&#10;yQqE88gaG8uk4EYO1vn9XYaptgN/UH/wpQgl7FJUUHnfplK6oiKDbmpb4uCdbWfQB9mVUnc4hHLT&#10;yFkULaXBmsNChS1tKyouh6tR8D7gsJnHr/3uct7evo+L/dcuJqUeH8bNCwhPo/8Lwy9+QIc8MJ3s&#10;lbUTjYJJEq54BUkSLUGEwPNsEYM4KVjNoyeQeSb/X8h/AAAA//8DAFBLAQItABQABgAIAAAAIQC2&#10;gziS/gAAAOEBAAATAAAAAAAAAAAAAAAAAAAAAABbQ29udGVudF9UeXBlc10ueG1sUEsBAi0AFAAG&#10;AAgAAAAhADj9If/WAAAAlAEAAAsAAAAAAAAAAAAAAAAALwEAAF9yZWxzLy5yZWxzUEsBAi0AFAAG&#10;AAgAAAAhAODzcXD7AgAAOwkAAA4AAAAAAAAAAAAAAAAALgIAAGRycy9lMm9Eb2MueG1sUEsBAi0A&#10;FAAGAAgAAAAhAGzLK/viAAAACgEAAA8AAAAAAAAAAAAAAAAAVQUAAGRycy9kb3ducmV2LnhtbFBL&#10;BQYAAAAABAAEAPMAAABkBgAAAAA=&#10;">
                <v:shape id="Text Box 1" o:spid="_x0000_s1030" type="#_x0000_t202" style="position:absolute;top:86;width:25419;height:24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JydwAAAANoAAAAPAAAAZHJzL2Rvd25yZXYueG1sRE89a8Mw&#10;EN0D/Q/iCt1iuR1K4kYxoVDoUkqcDOl2SFdbjXUylmo7+fVRIJDpeLzPW5WTa8VAfbCeFTxnOQhi&#10;7Y3lWsF+9zFfgAgR2WDrmRScKEC5fpitsDB+5C0NVaxFCuFQoIImxq6QMuiGHIbMd8SJ+/W9w5hg&#10;X0vT45jCXStf8vxVOrScGhrs6L0hfaz+nQLDB8/6x36dLVfaLs/fiz89KPX0OG3eQESa4l18c3+a&#10;NB+ur1yvXF8AAAD//wMAUEsBAi0AFAAGAAgAAAAhANvh9svuAAAAhQEAABMAAAAAAAAAAAAAAAAA&#10;AAAAAFtDb250ZW50X1R5cGVzXS54bWxQSwECLQAUAAYACAAAACEAWvQsW78AAAAVAQAACwAAAAAA&#10;AAAAAAAAAAAfAQAAX3JlbHMvLnJlbHNQSwECLQAUAAYACAAAACEA/EScncAAAADaAAAADwAAAAAA&#10;AAAAAAAAAAAHAgAAZHJzL2Rvd25yZXYueG1sUEsFBgAAAAADAAMAtwAAAPQCAAAAAA==&#10;" fillcolor="window" strokeweight=".5pt">
                  <v:textbox>
                    <w:txbxContent>
                      <w:p w14:paraId="70053CDA" w14:textId="75FC7996" w:rsidR="00B77502" w:rsidRPr="00041CE6" w:rsidRDefault="00B77502" w:rsidP="00927443">
                        <w:pPr>
                          <w:jc w:val="left"/>
                          <w:rPr>
                            <w:b/>
                            <w:sz w:val="20"/>
                          </w:rPr>
                        </w:pPr>
                        <w:r w:rsidRPr="00041CE6">
                          <w:rPr>
                            <w:b/>
                            <w:sz w:val="20"/>
                          </w:rPr>
                          <w:t xml:space="preserve">Fig </w:t>
                        </w:r>
                        <w:r>
                          <w:rPr>
                            <w:b/>
                            <w:sz w:val="20"/>
                          </w:rPr>
                          <w:t>3</w:t>
                        </w:r>
                        <w:r w:rsidRPr="00041CE6">
                          <w:rPr>
                            <w:b/>
                            <w:sz w:val="20"/>
                          </w:rPr>
                          <w:t xml:space="preserve"> – Stock unit areas Western Channel (VIId, e, h) &amp; Celtic Sea (VIIf &amp; g)</w:t>
                        </w:r>
                      </w:p>
                      <w:p w14:paraId="13FC6B0A" w14:textId="77777777" w:rsidR="00B77502" w:rsidRDefault="00B77502" w:rsidP="00927443">
                        <w:r>
                          <w:rPr>
                            <w:noProof/>
                            <w:lang w:eastAsia="en-GB"/>
                          </w:rPr>
                          <w:drawing>
                            <wp:inline distT="0" distB="0" distL="0" distR="0" wp14:anchorId="6AEC5A00" wp14:editId="08458F24">
                              <wp:extent cx="2407080" cy="1923691"/>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415755" cy="1930624"/>
                                      </a:xfrm>
                                      <a:prstGeom prst="rect">
                                        <a:avLst/>
                                      </a:prstGeom>
                                    </pic:spPr>
                                  </pic:pic>
                                </a:graphicData>
                              </a:graphic>
                            </wp:inline>
                          </w:drawing>
                        </w:r>
                      </w:p>
                      <w:p w14:paraId="55A30B10" w14:textId="77777777" w:rsidR="00B77502" w:rsidRDefault="00B77502" w:rsidP="00927443"/>
                    </w:txbxContent>
                  </v:textbox>
                </v:shape>
                <v:shape id="Text Box 7" o:spid="_x0000_s1031" type="#_x0000_t202" style="position:absolute;left:25534;width:33464;height:24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aFywgAAANoAAAAPAAAAZHJzL2Rvd25yZXYueG1sRI9BawIx&#10;FITvhf6H8ArearYeql2NIgXBSxG3HurtkTx3o5uXZRPX1V9vBKHHYWa+YWaL3tWiozZYzwo+hhkI&#10;Yu2N5VLB7nf1PgERIrLB2jMpuFKAxfz1ZYa58RfeUlfEUiQIhxwVVDE2uZRBV+QwDH1DnLyDbx3G&#10;JNtSmhYvCe5qOcqyT+nQclqosKHvivSpODsFhv886739uVkutP26bSZH3Sk1eOuXUxCR+vgffrbX&#10;RsEYHlfSDZDzOwAAAP//AwBQSwECLQAUAAYACAAAACEA2+H2y+4AAACFAQAAEwAAAAAAAAAAAAAA&#10;AAAAAAAAW0NvbnRlbnRfVHlwZXNdLnhtbFBLAQItABQABgAIAAAAIQBa9CxbvwAAABUBAAALAAAA&#10;AAAAAAAAAAAAAB8BAABfcmVscy8ucmVsc1BLAQItABQABgAIAAAAIQAc4aFywgAAANoAAAAPAAAA&#10;AAAAAAAAAAAAAAcCAABkcnMvZG93bnJldi54bWxQSwUGAAAAAAMAAwC3AAAA9gIAAAAA&#10;" fillcolor="window" strokeweight=".5pt">
                  <v:textbox>
                    <w:txbxContent>
                      <w:p w14:paraId="6F910329" w14:textId="08D9A6E2" w:rsidR="00B77502" w:rsidRPr="00A36267" w:rsidRDefault="00B77502" w:rsidP="00927443">
                        <w:pPr>
                          <w:rPr>
                            <w:b/>
                            <w:sz w:val="20"/>
                          </w:rPr>
                        </w:pPr>
                        <w:r w:rsidRPr="00A36267">
                          <w:rPr>
                            <w:b/>
                            <w:sz w:val="20"/>
                          </w:rPr>
                          <w:t xml:space="preserve">Fig </w:t>
                        </w:r>
                        <w:r>
                          <w:rPr>
                            <w:b/>
                            <w:sz w:val="20"/>
                          </w:rPr>
                          <w:t>4</w:t>
                        </w:r>
                        <w:r w:rsidRPr="00A36267">
                          <w:rPr>
                            <w:b/>
                            <w:sz w:val="20"/>
                          </w:rPr>
                          <w:t xml:space="preserve"> – IFCA areas within Unit of Assessment</w:t>
                        </w:r>
                      </w:p>
                      <w:p w14:paraId="293326BE" w14:textId="48BD0B06" w:rsidR="00B77502" w:rsidRDefault="00B77502" w:rsidP="00927443">
                        <w:r>
                          <w:rPr>
                            <w:noProof/>
                            <w:lang w:eastAsia="en-GB"/>
                          </w:rPr>
                          <w:drawing>
                            <wp:inline distT="0" distB="0" distL="0" distR="0" wp14:anchorId="175CCEC2" wp14:editId="18C95AFD">
                              <wp:extent cx="3157220" cy="2054839"/>
                              <wp:effectExtent l="0" t="0" r="508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157220" cy="2054839"/>
                                      </a:xfrm>
                                      <a:prstGeom prst="rect">
                                        <a:avLst/>
                                      </a:prstGeom>
                                    </pic:spPr>
                                  </pic:pic>
                                </a:graphicData>
                              </a:graphic>
                            </wp:inline>
                          </w:drawing>
                        </w:r>
                      </w:p>
                      <w:p w14:paraId="2A62219D" w14:textId="77777777" w:rsidR="00B77502" w:rsidRDefault="00B77502" w:rsidP="00927443"/>
                    </w:txbxContent>
                  </v:textbox>
                </v:shape>
                <w10:wrap type="square"/>
              </v:group>
            </w:pict>
          </mc:Fallback>
        </mc:AlternateContent>
      </w:r>
      <w:r w:rsidR="00E45137">
        <w:t xml:space="preserve">Although the MSC pre-assessment reporting template includes a number of descriptive sections, because this report is an update of an earlier pre-assessment and because these sections are not normative requirements (i.e. the template indicates that certain sections “may” be included), these have been omitted from this reduced template. Instead, below only very limited description of key fishery parameters are included with the aim of explicitly clarifying the nature of the fishery that is being pre-assessed. </w:t>
      </w:r>
    </w:p>
    <w:p w14:paraId="7E543C1E" w14:textId="11A6CAD7" w:rsidR="00B84506" w:rsidRDefault="00B84506" w:rsidP="0094023F">
      <w:r>
        <w:t xml:space="preserve">The </w:t>
      </w:r>
      <w:r w:rsidR="005A14BE">
        <w:t xml:space="preserve">UK </w:t>
      </w:r>
      <w:r>
        <w:t xml:space="preserve">Western Channel </w:t>
      </w:r>
      <w:r w:rsidR="005A14BE">
        <w:t xml:space="preserve">and Celtic Sea </w:t>
      </w:r>
      <w:r>
        <w:t>edible crab fisheries comprise coastal inshore pot and trap fisheries prosecuted by smaller (</w:t>
      </w:r>
      <w:r w:rsidR="00647D1B">
        <w:t xml:space="preserve">mainly </w:t>
      </w:r>
      <w:r>
        <w:t>under-10m vessels) and deeper water, more offshore, fisheries conducted by larger vessels that split time between inshore and offshore locations. The smaller vessels tend to operate on an exclusively local basis.  The larger vessels tend to shift grounds seasonally, as they respond to economic pressures – movements th</w:t>
      </w:r>
      <w:r w:rsidR="00647D1B">
        <w:t>at</w:t>
      </w:r>
      <w:r>
        <w:t xml:space="preserve"> may take them to other parts of western Europe</w:t>
      </w:r>
      <w:r w:rsidR="005A14BE">
        <w:t>an waters</w:t>
      </w:r>
      <w:r>
        <w:t>.</w:t>
      </w:r>
    </w:p>
    <w:p w14:paraId="02AE4ABF" w14:textId="21D68B52" w:rsidR="00D31BF1" w:rsidRDefault="00D31BF1" w:rsidP="0094023F">
      <w:r>
        <w:t>The fishery that is subject to this pre-assessment comprises catches and landings of UK registered vessels targeting edible crab in the Western Channel</w:t>
      </w:r>
      <w:r w:rsidR="005A14BE">
        <w:t xml:space="preserve"> (I</w:t>
      </w:r>
      <w:r>
        <w:t>CES areas VIIe &amp; h</w:t>
      </w:r>
      <w:r w:rsidR="007F63F5">
        <w:t xml:space="preserve">, and part of </w:t>
      </w:r>
      <w:proofErr w:type="spellStart"/>
      <w:r w:rsidR="007F63F5">
        <w:t>VIId</w:t>
      </w:r>
      <w:proofErr w:type="spellEnd"/>
      <w:r w:rsidR="005A14BE">
        <w:t xml:space="preserve">) and the Celtic Sea (ICES areas </w:t>
      </w:r>
      <w:proofErr w:type="spellStart"/>
      <w:r w:rsidR="005A14BE">
        <w:t>VIIf</w:t>
      </w:r>
      <w:proofErr w:type="spellEnd"/>
      <w:r w:rsidR="005A14BE">
        <w:t xml:space="preserve"> &amp; g)</w:t>
      </w:r>
      <w:r w:rsidR="00927443">
        <w:t xml:space="preserve"> (see </w:t>
      </w:r>
      <w:r w:rsidR="00927443" w:rsidRPr="00927443">
        <w:rPr>
          <w:b/>
        </w:rPr>
        <w:t>Fig 3</w:t>
      </w:r>
      <w:r w:rsidR="00927443">
        <w:t>)</w:t>
      </w:r>
      <w:r>
        <w:t xml:space="preserve">.  It excludes the operations of vessels registered in Ireland, </w:t>
      </w:r>
      <w:r>
        <w:lastRenderedPageBreak/>
        <w:t>France and the Channel Islands</w:t>
      </w:r>
      <w:r w:rsidR="00567940">
        <w:rPr>
          <w:rStyle w:val="FootnoteReference"/>
        </w:rPr>
        <w:footnoteReference w:id="8"/>
      </w:r>
      <w:r w:rsidR="005A14BE">
        <w:rPr>
          <w:rStyle w:val="FootnoteReference"/>
        </w:rPr>
        <w:footnoteReference w:id="9"/>
      </w:r>
      <w:r>
        <w:t>.</w:t>
      </w:r>
    </w:p>
    <w:p w14:paraId="46C0675B" w14:textId="236E72FA" w:rsidR="00927443" w:rsidRPr="006038A2" w:rsidRDefault="00927443" w:rsidP="00927443">
      <w:pPr>
        <w:rPr>
          <w:rFonts w:ascii="Calibri" w:hAnsi="Calibri" w:cs="Calibri"/>
          <w:color w:val="000000"/>
          <w:szCs w:val="22"/>
          <w:lang w:eastAsia="en-GB"/>
        </w:rPr>
      </w:pPr>
      <w:r w:rsidRPr="006038A2">
        <w:rPr>
          <w:rFonts w:ascii="Calibri" w:hAnsi="Calibri" w:cs="Calibri"/>
          <w:color w:val="000000"/>
          <w:szCs w:val="22"/>
          <w:lang w:eastAsia="en-GB"/>
        </w:rPr>
        <w:t xml:space="preserve">Fishery management jurisdiction is organised on two different scales around England. Beyond 6 nautical miles, Defra and the MMO are responsible for managing crab fisheries whereas from the coast out to 6 nautical miles, responsibility lies with the Inshore Fisheries and Conservation Authorities (IFCAs). </w:t>
      </w:r>
      <w:r>
        <w:rPr>
          <w:rFonts w:ascii="Calibri" w:hAnsi="Calibri" w:cs="Calibri"/>
          <w:color w:val="000000"/>
          <w:szCs w:val="22"/>
          <w:lang w:eastAsia="en-GB"/>
        </w:rPr>
        <w:t xml:space="preserve">This stock unit and jurisdiction over inshore management within this area rests with four IFCAs – the Southern, Devon &amp; Severn, Cornwall, and Isle of Scilly IFCAs (see </w:t>
      </w:r>
      <w:r w:rsidRPr="00927443">
        <w:rPr>
          <w:rFonts w:ascii="Calibri" w:hAnsi="Calibri" w:cs="Calibri"/>
          <w:b/>
          <w:color w:val="000000"/>
          <w:szCs w:val="22"/>
          <w:lang w:eastAsia="en-GB"/>
        </w:rPr>
        <w:t>Fig 4</w:t>
      </w:r>
      <w:r>
        <w:rPr>
          <w:rFonts w:ascii="Calibri" w:hAnsi="Calibri" w:cs="Calibri"/>
          <w:color w:val="000000"/>
          <w:szCs w:val="22"/>
          <w:lang w:eastAsia="en-GB"/>
        </w:rPr>
        <w:t xml:space="preserve">).  The Western Channel &amp; Celtic Sea stock units and </w:t>
      </w:r>
      <w:r w:rsidRPr="006038A2">
        <w:rPr>
          <w:rFonts w:ascii="Calibri" w:hAnsi="Calibri" w:cs="Calibri"/>
          <w:color w:val="000000"/>
          <w:szCs w:val="22"/>
          <w:lang w:eastAsia="en-GB"/>
        </w:rPr>
        <w:t>IFCA boundaries do not match, which can make interpreting results for each management unit challenging</w:t>
      </w:r>
      <w:r>
        <w:rPr>
          <w:rFonts w:ascii="Calibri" w:hAnsi="Calibri" w:cs="Calibri"/>
          <w:color w:val="000000"/>
          <w:szCs w:val="22"/>
          <w:lang w:eastAsia="en-GB"/>
        </w:rPr>
        <w:t xml:space="preserve">.  </w:t>
      </w:r>
      <w:r w:rsidRPr="006038A2">
        <w:rPr>
          <w:rFonts w:ascii="Calibri" w:hAnsi="Calibri" w:cs="Calibri"/>
          <w:color w:val="000000"/>
          <w:szCs w:val="22"/>
          <w:lang w:eastAsia="en-GB"/>
        </w:rPr>
        <w:t xml:space="preserve">There are 10 IFCA within England, and their regions extend from the coast out to 6nm. </w:t>
      </w:r>
      <w:r>
        <w:rPr>
          <w:rFonts w:ascii="Calibri" w:hAnsi="Calibri" w:cs="Calibri"/>
          <w:color w:val="000000"/>
          <w:szCs w:val="22"/>
          <w:lang w:eastAsia="en-GB"/>
        </w:rPr>
        <w:t>G</w:t>
      </w:r>
      <w:r w:rsidRPr="006038A2">
        <w:rPr>
          <w:rFonts w:ascii="Calibri" w:hAnsi="Calibri" w:cs="Calibri"/>
          <w:color w:val="000000"/>
          <w:szCs w:val="22"/>
          <w:lang w:eastAsia="en-GB"/>
        </w:rPr>
        <w:t xml:space="preserve">iven that one functional area is based on species biology and the other is based on governmental logistics, </w:t>
      </w:r>
      <w:r>
        <w:rPr>
          <w:rFonts w:ascii="Calibri" w:hAnsi="Calibri" w:cs="Calibri"/>
          <w:color w:val="000000"/>
          <w:szCs w:val="22"/>
          <w:lang w:eastAsia="en-GB"/>
        </w:rPr>
        <w:t xml:space="preserve">however, </w:t>
      </w:r>
      <w:r w:rsidRPr="006038A2">
        <w:rPr>
          <w:rFonts w:ascii="Calibri" w:hAnsi="Calibri" w:cs="Calibri"/>
          <w:color w:val="000000"/>
          <w:szCs w:val="22"/>
          <w:lang w:eastAsia="en-GB"/>
        </w:rPr>
        <w:t xml:space="preserve">differences are to be expected. </w:t>
      </w:r>
    </w:p>
    <w:p w14:paraId="4FDFCB6D" w14:textId="0D434959" w:rsidR="00647D1B" w:rsidRDefault="00647D1B" w:rsidP="00647D1B">
      <w:r>
        <w:t>Inshore fisheries out to 6nm are, in England, subject to management by Inshore Fisheries and Conservation Authorities</w:t>
      </w:r>
      <w:r w:rsidR="005A14BE">
        <w:t xml:space="preserve"> (IFCAs)</w:t>
      </w:r>
      <w:r>
        <w:t xml:space="preserve">.  For this fishery, jurisdiction rests with the </w:t>
      </w:r>
      <w:r w:rsidR="007F63F5">
        <w:t xml:space="preserve">Southern IFCA, the </w:t>
      </w:r>
      <w:r>
        <w:t>Devon and Severn IFCA, the Cornwall IFCA, and the Isles of Scilly IFCA</w:t>
      </w:r>
      <w:r w:rsidR="005A14BE">
        <w:t xml:space="preserve"> (see </w:t>
      </w:r>
      <w:r w:rsidR="005A14BE">
        <w:rPr>
          <w:b/>
        </w:rPr>
        <w:t>Fig 4</w:t>
      </w:r>
      <w:r w:rsidR="005A14BE">
        <w:t>)</w:t>
      </w:r>
      <w:r>
        <w:t>, though these areas are also subject to</w:t>
      </w:r>
      <w:r w:rsidR="00D31BF1">
        <w:t>, and need to be compliant with, UK legislation</w:t>
      </w:r>
      <w:r>
        <w:t xml:space="preserve">. </w:t>
      </w:r>
      <w:r w:rsidR="00D31BF1">
        <w:t xml:space="preserve">Outside 6nm </w:t>
      </w:r>
      <w:r>
        <w:t xml:space="preserve">UK registered vessels are subject to management by </w:t>
      </w:r>
      <w:r w:rsidR="007F63F5">
        <w:t xml:space="preserve">Defra and </w:t>
      </w:r>
      <w:r>
        <w:t xml:space="preserve">the Marine Management Organisation </w:t>
      </w:r>
      <w:r w:rsidR="00D31BF1">
        <w:t xml:space="preserve">(MMO) </w:t>
      </w:r>
      <w:r>
        <w:t xml:space="preserve">of the UK, and subject to EU CFP legislation </w:t>
      </w:r>
      <w:r w:rsidR="007F63F5">
        <w:t xml:space="preserve">in its original form or </w:t>
      </w:r>
      <w:r>
        <w:t>as interpreted in UK law, or as interpreted by French, Irish or Channel Island</w:t>
      </w:r>
      <w:r w:rsidR="00D31BF1">
        <w:t>s</w:t>
      </w:r>
      <w:r>
        <w:t xml:space="preserve"> legislation where these authorities have jurisdiction.   </w:t>
      </w:r>
    </w:p>
    <w:p w14:paraId="22AFDD9C" w14:textId="29C1D808" w:rsidR="00452B5B" w:rsidRDefault="00452B5B" w:rsidP="00452B5B">
      <w:r>
        <w:t xml:space="preserve">The most productive crab fishing grounds are to be found off Start Point, south Devon (under the control of the D&amp;S IFCA), and around the Channel Islands (under local management).  Other productive fisheries are conducted along the rocky Cornish (under Cornwall IFCA and </w:t>
      </w:r>
      <w:proofErr w:type="spellStart"/>
      <w:r>
        <w:t>IoS</w:t>
      </w:r>
      <w:proofErr w:type="spellEnd"/>
      <w:r>
        <w:t xml:space="preserve"> IFCA) and Brittany </w:t>
      </w:r>
      <w:r w:rsidR="0049311E">
        <w:t xml:space="preserve">(under French jurisdiction) </w:t>
      </w:r>
      <w:r>
        <w:t>coasts, and there is a mid-Channel open water fishery</w:t>
      </w:r>
      <w:r w:rsidR="0049311E">
        <w:t xml:space="preserve"> (largely under UK MMO management)</w:t>
      </w:r>
      <w:r>
        <w:t>.</w:t>
      </w:r>
    </w:p>
    <w:p w14:paraId="31C87673" w14:textId="4D83A782" w:rsidR="0081111A" w:rsidRDefault="00D1454C" w:rsidP="0094023F">
      <w:r>
        <w:t xml:space="preserve">Vessels are fitted out to set and recover fleets of pots, operating, according to scale and fishing pattern, between 50 and as many as 2,000 pots per vessel.  The technique can be varied to target different species – through choice of pot design, and </w:t>
      </w:r>
      <w:r w:rsidR="0081111A">
        <w:t xml:space="preserve">the </w:t>
      </w:r>
      <w:r>
        <w:t xml:space="preserve">location </w:t>
      </w:r>
      <w:r w:rsidR="00D31BF1">
        <w:t xml:space="preserve">of </w:t>
      </w:r>
      <w:r>
        <w:t xml:space="preserve">where the pots are set.  Accordingly many, though not all, vessels vary fishing activity across </w:t>
      </w:r>
      <w:r w:rsidR="000D3380">
        <w:t>the</w:t>
      </w:r>
      <w:r>
        <w:t xml:space="preserve"> year as they target different fishing opportunities.  The</w:t>
      </w:r>
      <w:r w:rsidR="0081111A">
        <w:t xml:space="preserve"> main </w:t>
      </w:r>
      <w:r w:rsidR="000D3380">
        <w:t xml:space="preserve">alternate </w:t>
      </w:r>
      <w:r>
        <w:t xml:space="preserve">fishing opportunities </w:t>
      </w:r>
      <w:r w:rsidR="0081111A">
        <w:t xml:space="preserve">available are </w:t>
      </w:r>
      <w:r w:rsidR="000D3380">
        <w:t xml:space="preserve">those </w:t>
      </w:r>
      <w:r w:rsidR="0081111A">
        <w:t xml:space="preserve">for </w:t>
      </w:r>
      <w:r>
        <w:t>lobster</w:t>
      </w:r>
      <w:r w:rsidR="00D31BF1">
        <w:t xml:space="preserve"> and </w:t>
      </w:r>
      <w:r w:rsidR="0081111A">
        <w:t>whelks</w:t>
      </w:r>
      <w:r w:rsidR="00D31BF1">
        <w:t xml:space="preserve">, and </w:t>
      </w:r>
      <w:proofErr w:type="gramStart"/>
      <w:r w:rsidR="00D31BF1">
        <w:t>to a lesser degree seasonal fisheries</w:t>
      </w:r>
      <w:proofErr w:type="gramEnd"/>
      <w:r w:rsidR="00D31BF1">
        <w:t xml:space="preserve"> for </w:t>
      </w:r>
      <w:r w:rsidR="0081111A">
        <w:t>cuttlefish</w:t>
      </w:r>
      <w:r w:rsidR="00D31BF1">
        <w:t xml:space="preserve"> and spider crab</w:t>
      </w:r>
      <w:r w:rsidR="0081111A">
        <w:t>.</w:t>
      </w:r>
    </w:p>
    <w:p w14:paraId="2B31C232" w14:textId="076C7BF3" w:rsidR="000D3380" w:rsidRDefault="0081111A" w:rsidP="0094023F">
      <w:r>
        <w:t xml:space="preserve">Potting and trap fisheries capture </w:t>
      </w:r>
      <w:r w:rsidR="00D31BF1">
        <w:t xml:space="preserve">marine species </w:t>
      </w:r>
      <w:r>
        <w:t xml:space="preserve">other than the target species – so that </w:t>
      </w:r>
      <w:r w:rsidR="00D31BF1">
        <w:t xml:space="preserve">edible </w:t>
      </w:r>
      <w:r>
        <w:t xml:space="preserve">crab fisheries have a lobster bycatch, and conversely lobster fisheries have a </w:t>
      </w:r>
      <w:r w:rsidR="00D31BF1">
        <w:t xml:space="preserve">(proportionately lesser) edible </w:t>
      </w:r>
      <w:r>
        <w:t xml:space="preserve">crab bycatch.  </w:t>
      </w:r>
      <w:r w:rsidR="000D3380">
        <w:t>All pots and traps are baited</w:t>
      </w:r>
      <w:r w:rsidR="00D31BF1">
        <w:rPr>
          <w:rStyle w:val="FootnoteReference"/>
        </w:rPr>
        <w:footnoteReference w:id="10"/>
      </w:r>
      <w:r w:rsidR="000D3380">
        <w:t xml:space="preserve">, and this actively attracts a number of other bycatch species which can be </w:t>
      </w:r>
      <w:r w:rsidR="009150AA">
        <w:t xml:space="preserve">found in pots </w:t>
      </w:r>
      <w:r w:rsidR="000D3380">
        <w:t xml:space="preserve">on a regular basis, </w:t>
      </w:r>
      <w:r w:rsidR="009150AA">
        <w:t xml:space="preserve">though </w:t>
      </w:r>
      <w:r w:rsidR="000D3380">
        <w:t>generally in very small numbers.  These include velvet and shore crabs, wrasse and other finfish, and whelks</w:t>
      </w:r>
      <w:r w:rsidR="009150AA">
        <w:t xml:space="preserve"> and starfish</w:t>
      </w:r>
      <w:r w:rsidR="000D3380">
        <w:t>.</w:t>
      </w:r>
      <w:r w:rsidR="009150AA">
        <w:t xml:space="preserve">  The level of bycatch found tends to diminish the further offshore the pots are set, and the greater the depth at which they are set.</w:t>
      </w:r>
      <w:r w:rsidR="000D3380">
        <w:t xml:space="preserve"> </w:t>
      </w:r>
      <w:r w:rsidR="00D1454C">
        <w:t xml:space="preserve">  </w:t>
      </w:r>
    </w:p>
    <w:p w14:paraId="3797015F" w14:textId="5F9AF305" w:rsidR="00D1454C" w:rsidRDefault="000D3380" w:rsidP="0094023F">
      <w:r>
        <w:t>Crab is also caught as a bycatch in fisheries deploying other gear.  Aside from pot fisheries specifically targeting lobster, the main other fisheries are gill net and tangle net fisheries (used</w:t>
      </w:r>
      <w:r w:rsidR="00891E9C">
        <w:t>, mainly inshore,</w:t>
      </w:r>
      <w:r>
        <w:t xml:space="preserve"> for capture of a range of </w:t>
      </w:r>
      <w:r w:rsidR="00891E9C">
        <w:t xml:space="preserve">demersal finfish), beam trawl fisheries (mainly offshore), </w:t>
      </w:r>
      <w:r w:rsidR="00891E9C">
        <w:lastRenderedPageBreak/>
        <w:t>and to a lesser degree in demersal trawl fisheries.</w:t>
      </w:r>
      <w:r w:rsidR="009150AA">
        <w:t xml:space="preserve">  These fisheries are responsible for slightly over 2% of all edible crab landings. </w:t>
      </w:r>
      <w:r>
        <w:t xml:space="preserve"> </w:t>
      </w:r>
      <w:r w:rsidR="00D1454C">
        <w:t xml:space="preserve"> </w:t>
      </w:r>
    </w:p>
    <w:p w14:paraId="08E31051" w14:textId="001E8FDA" w:rsidR="00E45137" w:rsidRDefault="002D168E" w:rsidP="00E45137">
      <w:pPr>
        <w:pStyle w:val="Heading2"/>
      </w:pPr>
      <w:bookmarkStart w:id="34" w:name="_Toc469259575"/>
      <w:bookmarkStart w:id="35" w:name="_Toc292723260"/>
      <w:bookmarkStart w:id="36" w:name="_Toc372551822"/>
      <w:bookmarkEnd w:id="32"/>
      <w:bookmarkEnd w:id="33"/>
      <w:r>
        <w:t>Other elements in the fishery</w:t>
      </w:r>
      <w:bookmarkEnd w:id="34"/>
    </w:p>
    <w:p w14:paraId="1104D8A5" w14:textId="22424D6A" w:rsidR="00C94872" w:rsidRDefault="00A90F60" w:rsidP="00250BFD">
      <w:r>
        <w:t>The MSC Fishery Certification Requirements (FCR) v2</w:t>
      </w:r>
      <w:r w:rsidR="00C94872" w:rsidRPr="00C94872">
        <w:t xml:space="preserve"> </w:t>
      </w:r>
      <w:r w:rsidR="00C94872">
        <w:t xml:space="preserve">which was </w:t>
      </w:r>
      <w:r w:rsidR="00C94872" w:rsidRPr="00C94872">
        <w:t>released on 8 October 2014, and became effective from 15 April 2015</w:t>
      </w:r>
      <w:r>
        <w:t xml:space="preserve"> </w:t>
      </w:r>
      <w:r w:rsidR="002D168E">
        <w:t>uses different components in scoring Principle 2</w:t>
      </w:r>
      <w:r w:rsidR="00C94872">
        <w:t xml:space="preserve"> to earlier versions of the MSC standard</w:t>
      </w:r>
      <w:r w:rsidR="002D168E">
        <w:t>. In the earlier pre-assessment undertaken as part of Project Inshore other species caught in the fishery</w:t>
      </w:r>
      <w:r w:rsidR="0039658C">
        <w:t xml:space="preserve"> (referred to as ‘elements’ in the scoring)</w:t>
      </w:r>
      <w:r w:rsidR="002D168E">
        <w:t xml:space="preserve"> were defined according to whether a </w:t>
      </w:r>
      <w:r w:rsidR="0039658C">
        <w:t>‘</w:t>
      </w:r>
      <w:r w:rsidR="002D168E">
        <w:t>retained</w:t>
      </w:r>
      <w:r w:rsidR="0039658C">
        <w:t>’</w:t>
      </w:r>
      <w:r w:rsidR="002D168E">
        <w:t xml:space="preserve"> catch (PI2.1.1-2.1.3) or whether a more unwanted or typically discarded </w:t>
      </w:r>
      <w:r w:rsidR="0039658C">
        <w:t>‘</w:t>
      </w:r>
      <w:r w:rsidR="002D168E">
        <w:t>bycatch</w:t>
      </w:r>
      <w:r w:rsidR="0039658C">
        <w:t>’</w:t>
      </w:r>
      <w:r w:rsidR="002D168E">
        <w:t xml:space="preserve"> (PI 2.2.1-2.2.3). </w:t>
      </w:r>
    </w:p>
    <w:p w14:paraId="36C7BE97" w14:textId="1D6138EF" w:rsidR="00A90F60" w:rsidRDefault="002D168E" w:rsidP="00250BFD">
      <w:r>
        <w:t xml:space="preserve">The latest version of the MSC standard </w:t>
      </w:r>
      <w:r w:rsidR="0039658C">
        <w:t>re-</w:t>
      </w:r>
      <w:r w:rsidR="00C94872">
        <w:t xml:space="preserve">categorises </w:t>
      </w:r>
      <w:r w:rsidR="0039658C">
        <w:t xml:space="preserve">those </w:t>
      </w:r>
      <w:r w:rsidR="00C94872">
        <w:t>other species caught in the fishery as either Primary (PI 2.1.1-2.1.3) or Secondary (2.2.1 – 2.2.3)</w:t>
      </w:r>
      <w:r w:rsidR="0039658C">
        <w:t>,</w:t>
      </w:r>
      <w:r w:rsidR="0039658C" w:rsidRPr="0039658C">
        <w:t xml:space="preserve"> regardless of whet</w:t>
      </w:r>
      <w:r w:rsidR="0039658C">
        <w:t>her it is retained or discarded</w:t>
      </w:r>
      <w:r w:rsidR="00C94872">
        <w:t>. Primary</w:t>
      </w:r>
      <w:r w:rsidR="00A90F60">
        <w:t xml:space="preserve"> species within Principle 2 </w:t>
      </w:r>
      <w:r w:rsidR="008467C1">
        <w:t xml:space="preserve">are defined </w:t>
      </w:r>
      <w:r w:rsidR="00A90F60">
        <w:t>as those that have management measures and tools in place intended to achieve stock management objectives reflected in either limit or target reference points (FCRv2 SA3.1.3).  If management limit</w:t>
      </w:r>
      <w:r w:rsidR="008467C1">
        <w:t>s</w:t>
      </w:r>
      <w:r w:rsidR="00A90F60">
        <w:t xml:space="preserve"> or reference points are not in place then the species is classified as a secondary species (</w:t>
      </w:r>
      <w:r w:rsidR="0039658C">
        <w:t>unless it is classified as Endangered, Threatened or Protected)</w:t>
      </w:r>
      <w:r w:rsidR="00A90F60">
        <w:t>.</w:t>
      </w:r>
    </w:p>
    <w:p w14:paraId="311DDCFD" w14:textId="6A9F13D4" w:rsidR="00A90F60" w:rsidRDefault="0039658C" w:rsidP="00250BFD">
      <w:r>
        <w:t>For Primary species a stock assessment would most likely be available but for secondary species a stock assessment is less likely to be available, theref</w:t>
      </w:r>
      <w:r w:rsidR="00A90F60">
        <w:t xml:space="preserve">ore, </w:t>
      </w:r>
      <w:r w:rsidR="00F713AC">
        <w:t xml:space="preserve">the outcome status of secondary species is </w:t>
      </w:r>
      <w:r w:rsidR="00084D2B">
        <w:t xml:space="preserve">likely to be </w:t>
      </w:r>
      <w:r w:rsidR="008C0DF8">
        <w:t>scored</w:t>
      </w:r>
      <w:r w:rsidR="00F713AC">
        <w:t xml:space="preserve"> using the Risk Based Framework (as per definition in Table 3, Section 7.7.6 of FCRv2).</w:t>
      </w:r>
    </w:p>
    <w:p w14:paraId="5591B5D9" w14:textId="7141AB41" w:rsidR="00F713AC" w:rsidRDefault="006A69D1" w:rsidP="00250BFD">
      <w:r w:rsidRPr="005B287F">
        <w:fldChar w:fldCharType="begin"/>
      </w:r>
      <w:r w:rsidRPr="005B287F">
        <w:instrText xml:space="preserve"> REF _Ref326397995 \h </w:instrText>
      </w:r>
      <w:r w:rsidR="00B01C99" w:rsidRPr="005B287F">
        <w:instrText xml:space="preserve"> \* MERGEFORMAT </w:instrText>
      </w:r>
      <w:r w:rsidRPr="005B287F">
        <w:fldChar w:fldCharType="separate"/>
      </w:r>
      <w:r w:rsidR="006B4F3C">
        <w:t xml:space="preserve">Table </w:t>
      </w:r>
      <w:r w:rsidRPr="005B287F">
        <w:fldChar w:fldCharType="end"/>
      </w:r>
      <w:r w:rsidRPr="005B287F">
        <w:t xml:space="preserve"> below presents details on whether stock assessments have been undertaken and management and stock status reference points are available; the proportion of catch and whether the species is </w:t>
      </w:r>
      <w:r w:rsidR="001C1623" w:rsidRPr="005B287F">
        <w:t>considered</w:t>
      </w:r>
      <w:r w:rsidRPr="005B287F">
        <w:t xml:space="preserve"> main or minor; and whether the outcome status of the species will be </w:t>
      </w:r>
      <w:r w:rsidR="008C0DF8" w:rsidRPr="005B287F">
        <w:t>scored</w:t>
      </w:r>
      <w:r w:rsidRPr="005B287F">
        <w:t xml:space="preserve"> using RBF.</w:t>
      </w:r>
    </w:p>
    <w:p w14:paraId="43A4B309" w14:textId="77777777" w:rsidR="00FB53E3" w:rsidRDefault="00FB53E3" w:rsidP="00B01C99"/>
    <w:p w14:paraId="2075382A" w14:textId="77777777" w:rsidR="00FB53E3" w:rsidRDefault="00FB53E3" w:rsidP="00B01C99">
      <w:pPr>
        <w:sectPr w:rsidR="00FB53E3" w:rsidSect="003A74F3">
          <w:headerReference w:type="default" r:id="rId26"/>
          <w:pgSz w:w="11906" w:h="16838"/>
          <w:pgMar w:top="1440" w:right="1440" w:bottom="1440" w:left="1440" w:header="708" w:footer="708" w:gutter="0"/>
          <w:pgNumType w:start="1"/>
          <w:cols w:space="708"/>
          <w:docGrid w:linePitch="360"/>
        </w:sectPr>
      </w:pPr>
    </w:p>
    <w:p w14:paraId="2340C382" w14:textId="7BAE4E19" w:rsidR="00D70E51" w:rsidRDefault="00D70E51" w:rsidP="00B01C99"/>
    <w:p w14:paraId="3108EA8E" w14:textId="118317B4" w:rsidR="00DF13E6" w:rsidRDefault="00DF13E6" w:rsidP="00DF13E6">
      <w:pPr>
        <w:pStyle w:val="Caption"/>
      </w:pPr>
      <w:bookmarkStart w:id="37" w:name="_Ref326397995"/>
      <w:r>
        <w:t xml:space="preserve">Table </w:t>
      </w:r>
      <w:bookmarkEnd w:id="37"/>
      <w:r w:rsidR="00FB53E3">
        <w:t>3</w:t>
      </w:r>
      <w:r>
        <w:t xml:space="preserve">: </w:t>
      </w:r>
      <w:r w:rsidR="00D70E51">
        <w:t xml:space="preserve">Summary of how primary and secondary species are assessed within Principle 2 </w:t>
      </w:r>
    </w:p>
    <w:tbl>
      <w:tblPr>
        <w:tblW w:w="0" w:type="auto"/>
        <w:tblInd w:w="93" w:type="dxa"/>
        <w:tblLayout w:type="fixed"/>
        <w:tblLook w:val="04A0" w:firstRow="1" w:lastRow="0" w:firstColumn="1" w:lastColumn="0" w:noHBand="0" w:noVBand="1"/>
      </w:tblPr>
      <w:tblGrid>
        <w:gridCol w:w="1995"/>
        <w:gridCol w:w="1499"/>
        <w:gridCol w:w="1260"/>
        <w:gridCol w:w="720"/>
        <w:gridCol w:w="900"/>
        <w:gridCol w:w="1260"/>
        <w:gridCol w:w="1800"/>
        <w:gridCol w:w="1170"/>
        <w:gridCol w:w="1064"/>
        <w:gridCol w:w="992"/>
      </w:tblGrid>
      <w:tr w:rsidR="00B167B3" w:rsidRPr="00DF13E6" w14:paraId="1068E9AE" w14:textId="77777777" w:rsidTr="000968EC">
        <w:trPr>
          <w:trHeight w:val="300"/>
        </w:trPr>
        <w:tc>
          <w:tcPr>
            <w:tcW w:w="1995"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763AD842" w14:textId="77777777" w:rsidR="00302410" w:rsidRPr="00DF13E6" w:rsidRDefault="00302410" w:rsidP="000968EC">
            <w:pPr>
              <w:pStyle w:val="Tableheader"/>
              <w:jc w:val="left"/>
            </w:pPr>
            <w:r w:rsidRPr="00DF13E6">
              <w:t>Scientific name</w:t>
            </w:r>
          </w:p>
        </w:tc>
        <w:tc>
          <w:tcPr>
            <w:tcW w:w="1499"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4A874CD1" w14:textId="77777777" w:rsidR="00302410" w:rsidRPr="00DF13E6" w:rsidRDefault="00302410" w:rsidP="000968EC">
            <w:pPr>
              <w:pStyle w:val="Tableheader"/>
              <w:jc w:val="center"/>
            </w:pPr>
            <w:r w:rsidRPr="00DF13E6">
              <w:t>Species</w:t>
            </w:r>
          </w:p>
        </w:tc>
        <w:tc>
          <w:tcPr>
            <w:tcW w:w="1260"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439ADCE5" w14:textId="77777777" w:rsidR="00302410" w:rsidRPr="00DF13E6" w:rsidRDefault="00302410" w:rsidP="000968EC">
            <w:pPr>
              <w:pStyle w:val="Tableheader"/>
              <w:jc w:val="center"/>
            </w:pPr>
            <w:r w:rsidRPr="00DF13E6">
              <w:t>Retained or discarded</w:t>
            </w:r>
          </w:p>
        </w:tc>
        <w:tc>
          <w:tcPr>
            <w:tcW w:w="720"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27191768" w14:textId="77777777" w:rsidR="00302410" w:rsidRPr="00DF13E6" w:rsidRDefault="00302410" w:rsidP="000968EC">
            <w:pPr>
              <w:pStyle w:val="Tableheader"/>
              <w:jc w:val="center"/>
            </w:pPr>
            <w:r w:rsidRPr="00DF13E6">
              <w:t>% of catch</w:t>
            </w:r>
          </w:p>
        </w:tc>
        <w:tc>
          <w:tcPr>
            <w:tcW w:w="900"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08A3BEEF" w14:textId="77777777" w:rsidR="00302410" w:rsidRPr="00DF13E6" w:rsidRDefault="00302410" w:rsidP="000968EC">
            <w:pPr>
              <w:pStyle w:val="Tableheader"/>
              <w:jc w:val="center"/>
            </w:pPr>
            <w:r w:rsidRPr="00DF13E6">
              <w:t>Main of Minor</w:t>
            </w:r>
          </w:p>
        </w:tc>
        <w:tc>
          <w:tcPr>
            <w:tcW w:w="1260"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0CE09B9D" w14:textId="77777777" w:rsidR="00302410" w:rsidRPr="00DF13E6" w:rsidRDefault="00302410" w:rsidP="000968EC">
            <w:pPr>
              <w:pStyle w:val="Tableheader"/>
              <w:jc w:val="center"/>
            </w:pPr>
            <w:r w:rsidRPr="00DF13E6">
              <w:t>Stock assessment</w:t>
            </w:r>
          </w:p>
        </w:tc>
        <w:tc>
          <w:tcPr>
            <w:tcW w:w="1800"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1FBE7FC6" w14:textId="77777777" w:rsidR="00302410" w:rsidRPr="00DF13E6" w:rsidRDefault="00302410" w:rsidP="000968EC">
            <w:pPr>
              <w:pStyle w:val="Tableheader"/>
              <w:jc w:val="center"/>
            </w:pPr>
            <w:r w:rsidRPr="00DF13E6">
              <w:t>Management limit or ref points</w:t>
            </w:r>
          </w:p>
        </w:tc>
        <w:tc>
          <w:tcPr>
            <w:tcW w:w="1170"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6A388912" w14:textId="77777777" w:rsidR="00302410" w:rsidRPr="00DF13E6" w:rsidRDefault="00302410" w:rsidP="000968EC">
            <w:pPr>
              <w:pStyle w:val="Tableheader"/>
              <w:jc w:val="center"/>
            </w:pPr>
            <w:r w:rsidRPr="00DF13E6">
              <w:t>Primary or secondary</w:t>
            </w:r>
          </w:p>
        </w:tc>
        <w:tc>
          <w:tcPr>
            <w:tcW w:w="1064"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15EF75F2" w14:textId="77777777" w:rsidR="00302410" w:rsidRPr="00DF13E6" w:rsidRDefault="00302410" w:rsidP="000968EC">
            <w:pPr>
              <w:pStyle w:val="Tableheader"/>
              <w:jc w:val="center"/>
            </w:pPr>
            <w:r w:rsidRPr="00DF13E6">
              <w:t>Stock status ref points</w:t>
            </w:r>
          </w:p>
        </w:tc>
        <w:tc>
          <w:tcPr>
            <w:tcW w:w="992"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14:paraId="1E8C88CD" w14:textId="77777777" w:rsidR="00302410" w:rsidRPr="00DF13E6" w:rsidRDefault="00302410" w:rsidP="000968EC">
            <w:pPr>
              <w:pStyle w:val="Tableheader"/>
              <w:jc w:val="center"/>
            </w:pPr>
            <w:r w:rsidRPr="00DF13E6">
              <w:t>RBF or default</w:t>
            </w:r>
          </w:p>
        </w:tc>
      </w:tr>
      <w:tr w:rsidR="00B167B3" w:rsidRPr="00DF13E6" w14:paraId="30EB895D" w14:textId="77777777" w:rsidTr="000968EC">
        <w:trPr>
          <w:trHeight w:val="300"/>
        </w:trPr>
        <w:tc>
          <w:tcPr>
            <w:tcW w:w="199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35CDD0" w14:textId="64832890" w:rsidR="00DA5A8E" w:rsidRPr="0054152A" w:rsidRDefault="00B167B3" w:rsidP="00DB4011">
            <w:pPr>
              <w:pStyle w:val="Tabletext"/>
              <w:rPr>
                <w:i/>
              </w:rPr>
            </w:pPr>
            <w:r w:rsidRPr="0054152A">
              <w:rPr>
                <w:i/>
              </w:rPr>
              <w:t>Homarus gammarus</w:t>
            </w:r>
          </w:p>
        </w:tc>
        <w:tc>
          <w:tcPr>
            <w:tcW w:w="149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6256AED" w14:textId="77777777" w:rsidR="00DA5A8E" w:rsidRPr="00DF13E6" w:rsidRDefault="00DA5A8E" w:rsidP="00DB4011">
            <w:pPr>
              <w:pStyle w:val="Tabletext"/>
            </w:pPr>
            <w:r w:rsidRPr="00DB012F">
              <w:rPr>
                <w:rFonts w:ascii="Calibri" w:hAnsi="Calibri" w:cs="Calibri"/>
                <w:color w:val="000000"/>
                <w:lang w:eastAsia="en-GB"/>
              </w:rPr>
              <w:t>lobster</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83A8B6" w14:textId="77777777" w:rsidR="00DA5A8E" w:rsidRPr="00DF13E6" w:rsidRDefault="00DA5A8E" w:rsidP="00DB4011">
            <w:pPr>
              <w:pStyle w:val="Tabletext"/>
              <w:jc w:val="center"/>
            </w:pPr>
            <w:r>
              <w:t>R</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EC4B2D" w14:textId="1AC79D70" w:rsidR="00DA5A8E" w:rsidRPr="00DF13E6" w:rsidRDefault="00DA5A8E" w:rsidP="0054152A">
            <w:pPr>
              <w:pStyle w:val="Tabletext"/>
            </w:pPr>
            <w:r>
              <w:t>&lt;</w:t>
            </w:r>
            <w:r w:rsidR="0054152A">
              <w:t>2</w:t>
            </w:r>
            <w: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0CB6E4" w14:textId="77777777" w:rsidR="00DA5A8E" w:rsidRPr="00DF13E6" w:rsidRDefault="00DA5A8E" w:rsidP="00DB4011">
            <w:pPr>
              <w:pStyle w:val="Tabletext"/>
              <w:jc w:val="center"/>
            </w:pPr>
            <w:r>
              <w:t>ma</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D135DA" w14:textId="77777777" w:rsidR="00DA5A8E" w:rsidRPr="00DF13E6" w:rsidRDefault="00DA5A8E" w:rsidP="00DB4011">
            <w:pPr>
              <w:pStyle w:val="Tabletext"/>
              <w:jc w:val="center"/>
            </w:pPr>
            <w:r>
              <w:t>Y</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0BAAB0" w14:textId="737DA712" w:rsidR="00DA5A8E" w:rsidRPr="00DF13E6" w:rsidRDefault="00AB17C7" w:rsidP="00AB17C7">
            <w:pPr>
              <w:pStyle w:val="Tabletext"/>
            </w:pPr>
            <w:r>
              <w:t>reference points</w:t>
            </w:r>
          </w:p>
        </w:tc>
        <w:tc>
          <w:tcPr>
            <w:tcW w:w="117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tcPr>
          <w:p w14:paraId="7A9FE824" w14:textId="3764F149" w:rsidR="00DA5A8E" w:rsidRPr="00DF13E6" w:rsidRDefault="00AB17C7" w:rsidP="00AB17C7">
            <w:pPr>
              <w:pStyle w:val="Tabletext"/>
              <w:jc w:val="center"/>
            </w:pPr>
            <w:proofErr w:type="spellStart"/>
            <w:r>
              <w:t>P</w:t>
            </w:r>
            <w:r w:rsidR="0054152A" w:rsidRPr="0054152A">
              <w:rPr>
                <w:vertAlign w:val="subscript"/>
              </w:rPr>
              <w:t>ma</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99B4D9" w14:textId="77777777" w:rsidR="00DA5A8E" w:rsidRPr="00DF13E6" w:rsidRDefault="00DA5A8E" w:rsidP="00DB4011">
            <w:pPr>
              <w:pStyle w:val="Tabletext"/>
              <w:jc w:val="center"/>
            </w:pPr>
            <w:r>
              <w:t>y</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BBC7C5" w14:textId="77777777" w:rsidR="00DA5A8E" w:rsidRPr="00DF13E6" w:rsidRDefault="00DA5A8E" w:rsidP="00DB4011">
            <w:pPr>
              <w:pStyle w:val="Tabletext"/>
            </w:pPr>
            <w:r>
              <w:t>default</w:t>
            </w:r>
          </w:p>
        </w:tc>
      </w:tr>
      <w:tr w:rsidR="00B167B3" w:rsidRPr="00DF13E6" w14:paraId="4301364D" w14:textId="77777777" w:rsidTr="000968EC">
        <w:trPr>
          <w:trHeight w:val="300"/>
        </w:trPr>
        <w:tc>
          <w:tcPr>
            <w:tcW w:w="1995" w:type="dxa"/>
            <w:tcBorders>
              <w:top w:val="single" w:sz="4" w:space="0" w:color="auto"/>
              <w:left w:val="single" w:sz="4" w:space="0" w:color="auto"/>
              <w:right w:val="single" w:sz="4" w:space="0" w:color="auto"/>
            </w:tcBorders>
            <w:shd w:val="clear" w:color="000000" w:fill="FFFFFF"/>
            <w:noWrap/>
            <w:vAlign w:val="center"/>
          </w:tcPr>
          <w:p w14:paraId="4FC9A3A9" w14:textId="1818EC12" w:rsidR="00AB17C7" w:rsidRPr="0054152A" w:rsidRDefault="00B167B3" w:rsidP="00DB4011">
            <w:pPr>
              <w:pStyle w:val="Tabletext"/>
              <w:rPr>
                <w:i/>
              </w:rPr>
            </w:pPr>
            <w:proofErr w:type="spellStart"/>
            <w:r w:rsidRPr="0054152A">
              <w:rPr>
                <w:i/>
              </w:rPr>
              <w:t>Gadus</w:t>
            </w:r>
            <w:proofErr w:type="spellEnd"/>
            <w:r w:rsidRPr="0054152A">
              <w:rPr>
                <w:i/>
              </w:rPr>
              <w:t xml:space="preserve"> </w:t>
            </w:r>
            <w:proofErr w:type="spellStart"/>
            <w:r w:rsidRPr="0054152A">
              <w:rPr>
                <w:i/>
              </w:rPr>
              <w:t>morhua</w:t>
            </w:r>
            <w:proofErr w:type="spellEnd"/>
          </w:p>
        </w:tc>
        <w:tc>
          <w:tcPr>
            <w:tcW w:w="1499" w:type="dxa"/>
            <w:tcBorders>
              <w:top w:val="single" w:sz="4" w:space="0" w:color="auto"/>
              <w:left w:val="single" w:sz="4" w:space="0" w:color="auto"/>
              <w:right w:val="single" w:sz="4" w:space="0" w:color="auto"/>
            </w:tcBorders>
            <w:shd w:val="clear" w:color="000000" w:fill="FFFFFF"/>
            <w:noWrap/>
            <w:vAlign w:val="bottom"/>
          </w:tcPr>
          <w:p w14:paraId="05986955" w14:textId="208D0B5E" w:rsidR="00AB17C7" w:rsidRPr="00DB012F" w:rsidRDefault="00AB17C7" w:rsidP="00DB4011">
            <w:pPr>
              <w:pStyle w:val="Tabletext"/>
              <w:rPr>
                <w:rFonts w:ascii="Calibri" w:hAnsi="Calibri" w:cs="Calibri"/>
                <w:color w:val="000000"/>
                <w:lang w:eastAsia="en-GB"/>
              </w:rPr>
            </w:pPr>
            <w:r>
              <w:rPr>
                <w:rFonts w:ascii="Calibri" w:hAnsi="Calibri" w:cs="Calibri"/>
                <w:color w:val="000000"/>
                <w:lang w:eastAsia="en-GB"/>
              </w:rPr>
              <w:t>cod</w:t>
            </w:r>
          </w:p>
        </w:tc>
        <w:tc>
          <w:tcPr>
            <w:tcW w:w="1260" w:type="dxa"/>
            <w:tcBorders>
              <w:top w:val="single" w:sz="4" w:space="0" w:color="auto"/>
              <w:left w:val="single" w:sz="4" w:space="0" w:color="auto"/>
              <w:right w:val="single" w:sz="4" w:space="0" w:color="auto"/>
            </w:tcBorders>
            <w:shd w:val="clear" w:color="auto" w:fill="auto"/>
            <w:noWrap/>
            <w:vAlign w:val="bottom"/>
          </w:tcPr>
          <w:p w14:paraId="430D9AAD" w14:textId="5DF9D9C8" w:rsidR="00AB17C7" w:rsidRDefault="00AB17C7" w:rsidP="00DB4011">
            <w:pPr>
              <w:pStyle w:val="Tabletext"/>
              <w:jc w:val="center"/>
            </w:pPr>
            <w:r>
              <w:t>R</w:t>
            </w:r>
          </w:p>
        </w:tc>
        <w:tc>
          <w:tcPr>
            <w:tcW w:w="720" w:type="dxa"/>
            <w:tcBorders>
              <w:top w:val="single" w:sz="4" w:space="0" w:color="auto"/>
              <w:left w:val="single" w:sz="4" w:space="0" w:color="auto"/>
              <w:right w:val="single" w:sz="4" w:space="0" w:color="auto"/>
            </w:tcBorders>
            <w:shd w:val="clear" w:color="auto" w:fill="auto"/>
            <w:noWrap/>
            <w:vAlign w:val="bottom"/>
          </w:tcPr>
          <w:p w14:paraId="7BF3AC8C" w14:textId="6CE2555D" w:rsidR="00AB17C7" w:rsidRDefault="00C2700F" w:rsidP="00DB4011">
            <w:pPr>
              <w:pStyle w:val="Tabletext"/>
            </w:pPr>
            <w:r w:rsidRPr="000727CD">
              <w:t>&lt;½ %</w:t>
            </w:r>
          </w:p>
        </w:tc>
        <w:tc>
          <w:tcPr>
            <w:tcW w:w="900" w:type="dxa"/>
            <w:tcBorders>
              <w:top w:val="single" w:sz="4" w:space="0" w:color="auto"/>
              <w:left w:val="single" w:sz="4" w:space="0" w:color="auto"/>
              <w:right w:val="single" w:sz="4" w:space="0" w:color="auto"/>
            </w:tcBorders>
            <w:shd w:val="clear" w:color="auto" w:fill="auto"/>
            <w:noWrap/>
            <w:vAlign w:val="bottom"/>
          </w:tcPr>
          <w:p w14:paraId="4E2F5E8F" w14:textId="2ADA20E6" w:rsidR="00AB17C7" w:rsidRDefault="00AB17C7" w:rsidP="00DB4011">
            <w:pPr>
              <w:pStyle w:val="Tabletext"/>
              <w:jc w:val="center"/>
            </w:pPr>
            <w:r>
              <w:t>mi</w:t>
            </w:r>
          </w:p>
        </w:tc>
        <w:tc>
          <w:tcPr>
            <w:tcW w:w="1260" w:type="dxa"/>
            <w:tcBorders>
              <w:top w:val="single" w:sz="4" w:space="0" w:color="auto"/>
              <w:left w:val="single" w:sz="4" w:space="0" w:color="auto"/>
              <w:right w:val="single" w:sz="4" w:space="0" w:color="auto"/>
            </w:tcBorders>
            <w:shd w:val="clear" w:color="auto" w:fill="auto"/>
            <w:noWrap/>
            <w:vAlign w:val="bottom"/>
          </w:tcPr>
          <w:p w14:paraId="0A4B7CC7" w14:textId="4A79A198" w:rsidR="00AB17C7" w:rsidRDefault="00BA633B" w:rsidP="00DB4011">
            <w:pPr>
              <w:pStyle w:val="Tabletext"/>
              <w:jc w:val="center"/>
            </w:pPr>
            <w:r>
              <w:t>y</w:t>
            </w:r>
          </w:p>
        </w:tc>
        <w:tc>
          <w:tcPr>
            <w:tcW w:w="1800" w:type="dxa"/>
            <w:tcBorders>
              <w:top w:val="single" w:sz="4" w:space="0" w:color="auto"/>
              <w:left w:val="single" w:sz="4" w:space="0" w:color="auto"/>
              <w:right w:val="single" w:sz="4" w:space="0" w:color="auto"/>
            </w:tcBorders>
            <w:shd w:val="clear" w:color="auto" w:fill="auto"/>
            <w:noWrap/>
            <w:vAlign w:val="bottom"/>
          </w:tcPr>
          <w:p w14:paraId="0CFE9631" w14:textId="4CF76DE5" w:rsidR="00AB17C7" w:rsidRDefault="00AB17C7" w:rsidP="00DB4011">
            <w:pPr>
              <w:pStyle w:val="Tabletext"/>
            </w:pPr>
            <w:r>
              <w:t>reference points</w:t>
            </w:r>
          </w:p>
        </w:tc>
        <w:tc>
          <w:tcPr>
            <w:tcW w:w="1170" w:type="dxa"/>
            <w:tcBorders>
              <w:top w:val="single" w:sz="4" w:space="0" w:color="auto"/>
              <w:left w:val="single" w:sz="4" w:space="0" w:color="auto"/>
              <w:right w:val="single" w:sz="4" w:space="0" w:color="auto"/>
            </w:tcBorders>
            <w:shd w:val="clear" w:color="auto" w:fill="EAF1DD" w:themeFill="accent3" w:themeFillTint="33"/>
            <w:noWrap/>
          </w:tcPr>
          <w:p w14:paraId="1DD49C9C" w14:textId="36895E1A" w:rsidR="00AB17C7" w:rsidRDefault="00AB17C7" w:rsidP="00AB17C7">
            <w:pPr>
              <w:pStyle w:val="Tabletext"/>
              <w:jc w:val="center"/>
            </w:pPr>
            <w:proofErr w:type="spellStart"/>
            <w:r>
              <w:t>P</w:t>
            </w:r>
            <w:r w:rsidR="0054152A" w:rsidRPr="0054152A">
              <w:rPr>
                <w:vertAlign w:val="subscript"/>
              </w:rPr>
              <w:t>mi</w:t>
            </w:r>
            <w:proofErr w:type="spellEnd"/>
          </w:p>
        </w:tc>
        <w:tc>
          <w:tcPr>
            <w:tcW w:w="1064" w:type="dxa"/>
            <w:tcBorders>
              <w:top w:val="single" w:sz="4" w:space="0" w:color="auto"/>
              <w:left w:val="single" w:sz="4" w:space="0" w:color="auto"/>
              <w:right w:val="single" w:sz="4" w:space="0" w:color="auto"/>
            </w:tcBorders>
            <w:shd w:val="clear" w:color="auto" w:fill="auto"/>
            <w:noWrap/>
            <w:vAlign w:val="bottom"/>
          </w:tcPr>
          <w:p w14:paraId="0088D91A" w14:textId="45AC09AE" w:rsidR="00AB17C7" w:rsidRDefault="00AB17C7" w:rsidP="00DB4011">
            <w:pPr>
              <w:pStyle w:val="Tabletext"/>
              <w:jc w:val="center"/>
            </w:pPr>
            <w:r>
              <w:t>Y</w:t>
            </w:r>
          </w:p>
        </w:tc>
        <w:tc>
          <w:tcPr>
            <w:tcW w:w="992" w:type="dxa"/>
            <w:tcBorders>
              <w:top w:val="single" w:sz="4" w:space="0" w:color="auto"/>
              <w:left w:val="single" w:sz="4" w:space="0" w:color="auto"/>
              <w:right w:val="single" w:sz="4" w:space="0" w:color="auto"/>
            </w:tcBorders>
            <w:shd w:val="clear" w:color="auto" w:fill="auto"/>
            <w:noWrap/>
            <w:vAlign w:val="bottom"/>
          </w:tcPr>
          <w:p w14:paraId="1CFD786A" w14:textId="37392254" w:rsidR="00AB17C7" w:rsidRDefault="00BA633B" w:rsidP="00DB4011">
            <w:pPr>
              <w:pStyle w:val="Tabletext"/>
            </w:pPr>
            <w:r>
              <w:t>default</w:t>
            </w:r>
          </w:p>
        </w:tc>
      </w:tr>
      <w:tr w:rsidR="00B167B3" w:rsidRPr="00DF13E6" w14:paraId="69436989" w14:textId="77777777" w:rsidTr="000968EC">
        <w:trPr>
          <w:trHeight w:val="300"/>
        </w:trPr>
        <w:tc>
          <w:tcPr>
            <w:tcW w:w="1995" w:type="dxa"/>
            <w:tcBorders>
              <w:top w:val="nil"/>
              <w:left w:val="single" w:sz="4" w:space="0" w:color="auto"/>
              <w:right w:val="single" w:sz="4" w:space="0" w:color="auto"/>
            </w:tcBorders>
            <w:shd w:val="clear" w:color="000000" w:fill="FFFFFF"/>
            <w:noWrap/>
            <w:vAlign w:val="center"/>
          </w:tcPr>
          <w:p w14:paraId="56764509" w14:textId="50E4616D" w:rsidR="00AB17C7" w:rsidRPr="0054152A" w:rsidRDefault="00B167B3" w:rsidP="00B12E6D">
            <w:pPr>
              <w:pStyle w:val="Tabletext"/>
              <w:rPr>
                <w:i/>
              </w:rPr>
            </w:pPr>
            <w:proofErr w:type="spellStart"/>
            <w:r w:rsidRPr="0054152A">
              <w:rPr>
                <w:i/>
              </w:rPr>
              <w:t>Dicentrarchus</w:t>
            </w:r>
            <w:proofErr w:type="spellEnd"/>
            <w:r w:rsidRPr="0054152A">
              <w:rPr>
                <w:i/>
              </w:rPr>
              <w:t xml:space="preserve"> </w:t>
            </w:r>
            <w:proofErr w:type="spellStart"/>
            <w:r w:rsidRPr="0054152A">
              <w:rPr>
                <w:i/>
              </w:rPr>
              <w:t>labrax</w:t>
            </w:r>
            <w:proofErr w:type="spellEnd"/>
          </w:p>
        </w:tc>
        <w:tc>
          <w:tcPr>
            <w:tcW w:w="1499" w:type="dxa"/>
            <w:tcBorders>
              <w:top w:val="nil"/>
              <w:left w:val="single" w:sz="4" w:space="0" w:color="auto"/>
              <w:right w:val="single" w:sz="4" w:space="0" w:color="auto"/>
            </w:tcBorders>
            <w:shd w:val="clear" w:color="000000" w:fill="FFFFFF"/>
            <w:noWrap/>
          </w:tcPr>
          <w:p w14:paraId="12434FF3" w14:textId="77777777" w:rsidR="00AB17C7" w:rsidRPr="00DF13E6" w:rsidRDefault="00AB17C7" w:rsidP="00B12E6D">
            <w:pPr>
              <w:pStyle w:val="Tabletext"/>
            </w:pPr>
            <w:r w:rsidRPr="00DB012F">
              <w:rPr>
                <w:rFonts w:ascii="Calibri" w:hAnsi="Calibri" w:cs="Calibri"/>
                <w:color w:val="000000"/>
                <w:lang w:eastAsia="en-GB"/>
              </w:rPr>
              <w:t>bass</w:t>
            </w:r>
          </w:p>
        </w:tc>
        <w:tc>
          <w:tcPr>
            <w:tcW w:w="1260" w:type="dxa"/>
            <w:tcBorders>
              <w:top w:val="nil"/>
              <w:left w:val="single" w:sz="4" w:space="0" w:color="auto"/>
              <w:right w:val="single" w:sz="4" w:space="0" w:color="auto"/>
            </w:tcBorders>
            <w:shd w:val="clear" w:color="auto" w:fill="auto"/>
            <w:noWrap/>
            <w:vAlign w:val="bottom"/>
          </w:tcPr>
          <w:p w14:paraId="3B5EE369" w14:textId="77777777" w:rsidR="00AB17C7" w:rsidRPr="00DF13E6" w:rsidRDefault="00AB17C7" w:rsidP="00B12E6D">
            <w:pPr>
              <w:pStyle w:val="Tabletext"/>
              <w:jc w:val="center"/>
            </w:pPr>
            <w:r>
              <w:t>R</w:t>
            </w:r>
          </w:p>
        </w:tc>
        <w:tc>
          <w:tcPr>
            <w:tcW w:w="720" w:type="dxa"/>
            <w:tcBorders>
              <w:top w:val="nil"/>
              <w:left w:val="single" w:sz="4" w:space="0" w:color="auto"/>
              <w:right w:val="single" w:sz="4" w:space="0" w:color="auto"/>
            </w:tcBorders>
            <w:shd w:val="clear" w:color="auto" w:fill="auto"/>
            <w:noWrap/>
          </w:tcPr>
          <w:p w14:paraId="42470D95" w14:textId="77777777" w:rsidR="00AB17C7" w:rsidRPr="00DF13E6" w:rsidRDefault="00AB17C7" w:rsidP="00B12E6D">
            <w:pPr>
              <w:pStyle w:val="Tabletext"/>
            </w:pPr>
            <w:r w:rsidRPr="000727CD">
              <w:t>&lt;½ %</w:t>
            </w:r>
          </w:p>
        </w:tc>
        <w:tc>
          <w:tcPr>
            <w:tcW w:w="900" w:type="dxa"/>
            <w:tcBorders>
              <w:top w:val="nil"/>
              <w:left w:val="single" w:sz="4" w:space="0" w:color="auto"/>
              <w:right w:val="single" w:sz="4" w:space="0" w:color="auto"/>
            </w:tcBorders>
            <w:shd w:val="clear" w:color="auto" w:fill="auto"/>
            <w:noWrap/>
          </w:tcPr>
          <w:p w14:paraId="3AE0F02F" w14:textId="77777777" w:rsidR="00AB17C7" w:rsidRPr="00DF13E6" w:rsidRDefault="00AB17C7" w:rsidP="00B12E6D">
            <w:pPr>
              <w:pStyle w:val="Tabletext"/>
              <w:jc w:val="center"/>
            </w:pPr>
            <w:r w:rsidRPr="00B3158A">
              <w:t>mi</w:t>
            </w:r>
          </w:p>
        </w:tc>
        <w:tc>
          <w:tcPr>
            <w:tcW w:w="1260" w:type="dxa"/>
            <w:tcBorders>
              <w:top w:val="nil"/>
              <w:left w:val="single" w:sz="4" w:space="0" w:color="auto"/>
              <w:right w:val="single" w:sz="4" w:space="0" w:color="auto"/>
            </w:tcBorders>
            <w:shd w:val="clear" w:color="auto" w:fill="auto"/>
            <w:noWrap/>
            <w:vAlign w:val="bottom"/>
          </w:tcPr>
          <w:p w14:paraId="626B19DB" w14:textId="77777777" w:rsidR="00AB17C7" w:rsidRPr="00DF13E6" w:rsidRDefault="00AB17C7" w:rsidP="00B12E6D">
            <w:pPr>
              <w:pStyle w:val="Tabletext"/>
              <w:jc w:val="center"/>
            </w:pPr>
            <w:r>
              <w:t>Y</w:t>
            </w:r>
          </w:p>
        </w:tc>
        <w:tc>
          <w:tcPr>
            <w:tcW w:w="1800" w:type="dxa"/>
            <w:tcBorders>
              <w:top w:val="nil"/>
              <w:left w:val="single" w:sz="4" w:space="0" w:color="auto"/>
              <w:right w:val="single" w:sz="4" w:space="0" w:color="auto"/>
            </w:tcBorders>
            <w:shd w:val="clear" w:color="auto" w:fill="auto"/>
            <w:noWrap/>
            <w:vAlign w:val="bottom"/>
          </w:tcPr>
          <w:p w14:paraId="41CBDE25" w14:textId="77777777" w:rsidR="00AB17C7" w:rsidRPr="00DF13E6" w:rsidRDefault="00AB17C7" w:rsidP="00B12E6D">
            <w:pPr>
              <w:pStyle w:val="Tabletext"/>
            </w:pPr>
            <w:r>
              <w:t>reference points</w:t>
            </w:r>
          </w:p>
        </w:tc>
        <w:tc>
          <w:tcPr>
            <w:tcW w:w="1170" w:type="dxa"/>
            <w:tcBorders>
              <w:top w:val="nil"/>
              <w:left w:val="single" w:sz="4" w:space="0" w:color="auto"/>
              <w:right w:val="single" w:sz="4" w:space="0" w:color="auto"/>
            </w:tcBorders>
            <w:shd w:val="clear" w:color="auto" w:fill="EAF1DD" w:themeFill="accent3" w:themeFillTint="33"/>
            <w:noWrap/>
          </w:tcPr>
          <w:p w14:paraId="45160762" w14:textId="6724EAC1" w:rsidR="00AB17C7" w:rsidRPr="00DF13E6" w:rsidRDefault="0054152A" w:rsidP="00AB17C7">
            <w:pPr>
              <w:pStyle w:val="Tabletext"/>
              <w:jc w:val="center"/>
            </w:pPr>
            <w:proofErr w:type="spellStart"/>
            <w:r>
              <w:t>P</w:t>
            </w:r>
            <w:r w:rsidRPr="0054152A">
              <w:rPr>
                <w:vertAlign w:val="subscript"/>
              </w:rPr>
              <w:t>mi</w:t>
            </w:r>
            <w:proofErr w:type="spellEnd"/>
          </w:p>
        </w:tc>
        <w:tc>
          <w:tcPr>
            <w:tcW w:w="1064" w:type="dxa"/>
            <w:tcBorders>
              <w:top w:val="nil"/>
              <w:left w:val="single" w:sz="4" w:space="0" w:color="auto"/>
              <w:right w:val="single" w:sz="4" w:space="0" w:color="auto"/>
            </w:tcBorders>
            <w:shd w:val="clear" w:color="auto" w:fill="auto"/>
            <w:noWrap/>
            <w:vAlign w:val="bottom"/>
          </w:tcPr>
          <w:p w14:paraId="7926218D" w14:textId="77777777" w:rsidR="00AB17C7" w:rsidRPr="00DF13E6" w:rsidRDefault="00AB17C7" w:rsidP="00B12E6D">
            <w:pPr>
              <w:pStyle w:val="Tabletext"/>
              <w:jc w:val="center"/>
            </w:pPr>
            <w:r>
              <w:t>y</w:t>
            </w:r>
          </w:p>
        </w:tc>
        <w:tc>
          <w:tcPr>
            <w:tcW w:w="992" w:type="dxa"/>
            <w:tcBorders>
              <w:top w:val="nil"/>
              <w:left w:val="single" w:sz="4" w:space="0" w:color="auto"/>
              <w:right w:val="single" w:sz="4" w:space="0" w:color="auto"/>
            </w:tcBorders>
            <w:shd w:val="clear" w:color="auto" w:fill="auto"/>
            <w:noWrap/>
          </w:tcPr>
          <w:p w14:paraId="46E20E17" w14:textId="77777777" w:rsidR="00AB17C7" w:rsidRPr="00DF13E6" w:rsidRDefault="00AB17C7" w:rsidP="00B12E6D">
            <w:pPr>
              <w:pStyle w:val="Tabletext"/>
            </w:pPr>
            <w:r>
              <w:t>default</w:t>
            </w:r>
          </w:p>
        </w:tc>
      </w:tr>
      <w:tr w:rsidR="00B167B3" w:rsidRPr="00DF13E6" w14:paraId="123A0465" w14:textId="77777777" w:rsidTr="000968EC">
        <w:trPr>
          <w:trHeight w:val="300"/>
        </w:trPr>
        <w:tc>
          <w:tcPr>
            <w:tcW w:w="1995" w:type="dxa"/>
            <w:tcBorders>
              <w:top w:val="single" w:sz="4" w:space="0" w:color="auto"/>
              <w:left w:val="single" w:sz="4" w:space="0" w:color="auto"/>
              <w:right w:val="single" w:sz="4" w:space="0" w:color="auto"/>
            </w:tcBorders>
            <w:shd w:val="clear" w:color="000000" w:fill="FFFFFF"/>
            <w:noWrap/>
            <w:vAlign w:val="center"/>
          </w:tcPr>
          <w:p w14:paraId="5701827C" w14:textId="4C065D9C" w:rsidR="00DA5A8E" w:rsidRPr="0054152A" w:rsidRDefault="00C2700F" w:rsidP="00DB4011">
            <w:pPr>
              <w:pStyle w:val="Tabletext"/>
              <w:rPr>
                <w:i/>
              </w:rPr>
            </w:pPr>
            <w:proofErr w:type="spellStart"/>
            <w:r w:rsidRPr="0054152A">
              <w:rPr>
                <w:rStyle w:val="st"/>
                <w:rFonts w:eastAsia="MS Gothic"/>
                <w:i/>
              </w:rPr>
              <w:t>Necora</w:t>
            </w:r>
            <w:proofErr w:type="spellEnd"/>
            <w:r w:rsidRPr="0054152A">
              <w:rPr>
                <w:rStyle w:val="st"/>
                <w:rFonts w:eastAsia="MS Gothic"/>
                <w:i/>
              </w:rPr>
              <w:t xml:space="preserve"> </w:t>
            </w:r>
            <w:proofErr w:type="spellStart"/>
            <w:r w:rsidRPr="0054152A">
              <w:rPr>
                <w:rStyle w:val="st"/>
                <w:rFonts w:eastAsia="MS Gothic"/>
                <w:i/>
              </w:rPr>
              <w:t>puber</w:t>
            </w:r>
            <w:proofErr w:type="spellEnd"/>
          </w:p>
        </w:tc>
        <w:tc>
          <w:tcPr>
            <w:tcW w:w="1499" w:type="dxa"/>
            <w:tcBorders>
              <w:top w:val="single" w:sz="4" w:space="0" w:color="auto"/>
              <w:left w:val="single" w:sz="4" w:space="0" w:color="auto"/>
              <w:right w:val="single" w:sz="4" w:space="0" w:color="auto"/>
            </w:tcBorders>
            <w:shd w:val="clear" w:color="000000" w:fill="FFFFFF"/>
            <w:noWrap/>
            <w:vAlign w:val="bottom"/>
          </w:tcPr>
          <w:p w14:paraId="6FF7B6BF" w14:textId="77777777" w:rsidR="00DA5A8E" w:rsidRPr="00DF13E6" w:rsidRDefault="00DA5A8E" w:rsidP="00DB4011">
            <w:pPr>
              <w:pStyle w:val="Tabletext"/>
            </w:pPr>
            <w:r w:rsidRPr="00DB012F">
              <w:rPr>
                <w:rFonts w:ascii="Calibri" w:hAnsi="Calibri" w:cs="Calibri"/>
                <w:color w:val="000000"/>
                <w:lang w:eastAsia="en-GB"/>
              </w:rPr>
              <w:t>velvet crab</w:t>
            </w:r>
          </w:p>
        </w:tc>
        <w:tc>
          <w:tcPr>
            <w:tcW w:w="1260" w:type="dxa"/>
            <w:tcBorders>
              <w:top w:val="single" w:sz="4" w:space="0" w:color="auto"/>
              <w:left w:val="single" w:sz="4" w:space="0" w:color="auto"/>
              <w:right w:val="single" w:sz="4" w:space="0" w:color="auto"/>
            </w:tcBorders>
            <w:shd w:val="clear" w:color="auto" w:fill="auto"/>
            <w:noWrap/>
            <w:vAlign w:val="bottom"/>
          </w:tcPr>
          <w:p w14:paraId="0D2AA637" w14:textId="77777777" w:rsidR="00DA5A8E" w:rsidRPr="00DF13E6" w:rsidRDefault="00DA5A8E" w:rsidP="00DB4011">
            <w:pPr>
              <w:pStyle w:val="Tabletext"/>
              <w:jc w:val="center"/>
            </w:pPr>
            <w:r>
              <w:t>R</w:t>
            </w:r>
          </w:p>
        </w:tc>
        <w:tc>
          <w:tcPr>
            <w:tcW w:w="720" w:type="dxa"/>
            <w:tcBorders>
              <w:top w:val="single" w:sz="4" w:space="0" w:color="auto"/>
              <w:left w:val="single" w:sz="4" w:space="0" w:color="auto"/>
              <w:right w:val="single" w:sz="4" w:space="0" w:color="auto"/>
            </w:tcBorders>
            <w:shd w:val="clear" w:color="auto" w:fill="auto"/>
            <w:noWrap/>
          </w:tcPr>
          <w:p w14:paraId="383743F4" w14:textId="77777777" w:rsidR="00DA5A8E" w:rsidRPr="00DF13E6" w:rsidRDefault="00DA5A8E" w:rsidP="00DB4011">
            <w:pPr>
              <w:pStyle w:val="Tabletext"/>
            </w:pPr>
            <w:r w:rsidRPr="000727CD">
              <w:t>&lt;½ %</w:t>
            </w:r>
          </w:p>
        </w:tc>
        <w:tc>
          <w:tcPr>
            <w:tcW w:w="900" w:type="dxa"/>
            <w:tcBorders>
              <w:top w:val="single" w:sz="4" w:space="0" w:color="auto"/>
              <w:left w:val="single" w:sz="4" w:space="0" w:color="auto"/>
              <w:right w:val="single" w:sz="4" w:space="0" w:color="auto"/>
            </w:tcBorders>
            <w:shd w:val="clear" w:color="auto" w:fill="auto"/>
            <w:noWrap/>
          </w:tcPr>
          <w:p w14:paraId="3B36B56B" w14:textId="77777777" w:rsidR="00DA5A8E" w:rsidRPr="00DF13E6" w:rsidRDefault="00DA5A8E" w:rsidP="00DB4011">
            <w:pPr>
              <w:pStyle w:val="Tabletext"/>
              <w:jc w:val="center"/>
            </w:pPr>
            <w:r w:rsidRPr="00B3158A">
              <w:t>mi</w:t>
            </w:r>
          </w:p>
        </w:tc>
        <w:tc>
          <w:tcPr>
            <w:tcW w:w="1260" w:type="dxa"/>
            <w:tcBorders>
              <w:top w:val="single" w:sz="4" w:space="0" w:color="auto"/>
              <w:left w:val="single" w:sz="4" w:space="0" w:color="auto"/>
              <w:right w:val="single" w:sz="4" w:space="0" w:color="auto"/>
            </w:tcBorders>
            <w:shd w:val="clear" w:color="auto" w:fill="auto"/>
            <w:noWrap/>
            <w:vAlign w:val="bottom"/>
          </w:tcPr>
          <w:p w14:paraId="3CDA922D" w14:textId="77777777" w:rsidR="00DA5A8E" w:rsidRPr="00DF13E6" w:rsidRDefault="00DA5A8E" w:rsidP="00DB4011">
            <w:pPr>
              <w:pStyle w:val="Tabletext"/>
              <w:jc w:val="center"/>
            </w:pPr>
            <w:r>
              <w:t>Y</w:t>
            </w:r>
          </w:p>
        </w:tc>
        <w:tc>
          <w:tcPr>
            <w:tcW w:w="1800" w:type="dxa"/>
            <w:tcBorders>
              <w:top w:val="single" w:sz="4" w:space="0" w:color="auto"/>
              <w:left w:val="single" w:sz="4" w:space="0" w:color="auto"/>
              <w:right w:val="single" w:sz="4" w:space="0" w:color="auto"/>
            </w:tcBorders>
            <w:shd w:val="clear" w:color="auto" w:fill="auto"/>
            <w:noWrap/>
            <w:vAlign w:val="bottom"/>
          </w:tcPr>
          <w:p w14:paraId="2826AD0E" w14:textId="77777777" w:rsidR="00DA5A8E" w:rsidRPr="00DF13E6" w:rsidRDefault="00DA5A8E" w:rsidP="00DB4011">
            <w:pPr>
              <w:pStyle w:val="Tabletext"/>
            </w:pPr>
            <w:r>
              <w:t>management limit</w:t>
            </w:r>
          </w:p>
        </w:tc>
        <w:tc>
          <w:tcPr>
            <w:tcW w:w="1170" w:type="dxa"/>
            <w:tcBorders>
              <w:top w:val="single" w:sz="4" w:space="0" w:color="auto"/>
              <w:left w:val="single" w:sz="4" w:space="0" w:color="auto"/>
              <w:right w:val="single" w:sz="4" w:space="0" w:color="auto"/>
            </w:tcBorders>
            <w:shd w:val="clear" w:color="auto" w:fill="EAF1DD" w:themeFill="accent3" w:themeFillTint="33"/>
            <w:noWrap/>
          </w:tcPr>
          <w:p w14:paraId="6EC9AA5B" w14:textId="4EEBEA74" w:rsidR="00DA5A8E" w:rsidRPr="00DF13E6" w:rsidRDefault="00DA5A8E" w:rsidP="00DB4011">
            <w:pPr>
              <w:pStyle w:val="Tabletext"/>
              <w:jc w:val="center"/>
            </w:pPr>
            <w:proofErr w:type="spellStart"/>
            <w:r w:rsidRPr="006617E1">
              <w:t>S</w:t>
            </w:r>
            <w:r w:rsidR="0054152A" w:rsidRPr="0054152A">
              <w:rPr>
                <w:vertAlign w:val="subscript"/>
              </w:rPr>
              <w:t>mi</w:t>
            </w:r>
            <w:proofErr w:type="spellEnd"/>
          </w:p>
        </w:tc>
        <w:tc>
          <w:tcPr>
            <w:tcW w:w="1064" w:type="dxa"/>
            <w:tcBorders>
              <w:top w:val="single" w:sz="4" w:space="0" w:color="auto"/>
              <w:left w:val="single" w:sz="4" w:space="0" w:color="auto"/>
              <w:right w:val="single" w:sz="4" w:space="0" w:color="auto"/>
            </w:tcBorders>
            <w:shd w:val="clear" w:color="auto" w:fill="auto"/>
            <w:noWrap/>
            <w:vAlign w:val="bottom"/>
          </w:tcPr>
          <w:p w14:paraId="49994EB5" w14:textId="77777777" w:rsidR="00DA5A8E" w:rsidRPr="00DF13E6" w:rsidRDefault="00DA5A8E" w:rsidP="00DB4011">
            <w:pPr>
              <w:pStyle w:val="Tabletext"/>
              <w:jc w:val="center"/>
            </w:pPr>
            <w:r>
              <w:t>y</w:t>
            </w:r>
          </w:p>
        </w:tc>
        <w:tc>
          <w:tcPr>
            <w:tcW w:w="992" w:type="dxa"/>
            <w:tcBorders>
              <w:top w:val="single" w:sz="4" w:space="0" w:color="auto"/>
              <w:left w:val="single" w:sz="4" w:space="0" w:color="auto"/>
              <w:right w:val="single" w:sz="4" w:space="0" w:color="auto"/>
            </w:tcBorders>
            <w:shd w:val="clear" w:color="auto" w:fill="auto"/>
            <w:noWrap/>
          </w:tcPr>
          <w:p w14:paraId="196D53F1" w14:textId="77777777" w:rsidR="00DA5A8E" w:rsidRPr="00DF13E6" w:rsidRDefault="00DA5A8E" w:rsidP="00DB4011">
            <w:pPr>
              <w:pStyle w:val="Tabletext"/>
            </w:pPr>
            <w:r>
              <w:t>default</w:t>
            </w:r>
          </w:p>
        </w:tc>
      </w:tr>
      <w:tr w:rsidR="0054152A" w:rsidRPr="00DF13E6" w14:paraId="69706AB6" w14:textId="77777777" w:rsidTr="000968EC">
        <w:trPr>
          <w:trHeight w:val="300"/>
        </w:trPr>
        <w:tc>
          <w:tcPr>
            <w:tcW w:w="1995" w:type="dxa"/>
            <w:tcBorders>
              <w:top w:val="nil"/>
              <w:left w:val="single" w:sz="4" w:space="0" w:color="auto"/>
              <w:right w:val="single" w:sz="4" w:space="0" w:color="auto"/>
            </w:tcBorders>
            <w:shd w:val="clear" w:color="000000" w:fill="FFFFFF"/>
            <w:noWrap/>
            <w:vAlign w:val="center"/>
          </w:tcPr>
          <w:p w14:paraId="56C740E0" w14:textId="17DB0D59" w:rsidR="0054152A" w:rsidRPr="00AD67CA" w:rsidRDefault="0054152A" w:rsidP="00C2700F">
            <w:pPr>
              <w:pStyle w:val="Tabletext"/>
              <w:rPr>
                <w:rFonts w:eastAsia="MS Gothic"/>
                <w:i/>
              </w:rPr>
            </w:pPr>
            <w:r w:rsidRPr="00AD67CA">
              <w:rPr>
                <w:rStyle w:val="st"/>
                <w:rFonts w:eastAsia="MS Gothic"/>
                <w:i/>
              </w:rPr>
              <w:t xml:space="preserve">Maia </w:t>
            </w:r>
            <w:proofErr w:type="spellStart"/>
            <w:r w:rsidR="00AD67CA" w:rsidRPr="00AD67CA">
              <w:rPr>
                <w:rStyle w:val="st"/>
                <w:rFonts w:eastAsia="MS Gothic"/>
                <w:i/>
              </w:rPr>
              <w:t>brachydactyla</w:t>
            </w:r>
            <w:proofErr w:type="spellEnd"/>
          </w:p>
        </w:tc>
        <w:tc>
          <w:tcPr>
            <w:tcW w:w="1499" w:type="dxa"/>
            <w:tcBorders>
              <w:top w:val="nil"/>
              <w:left w:val="single" w:sz="4" w:space="0" w:color="auto"/>
              <w:right w:val="single" w:sz="4" w:space="0" w:color="auto"/>
            </w:tcBorders>
            <w:shd w:val="clear" w:color="000000" w:fill="FFFFFF"/>
            <w:noWrap/>
            <w:vAlign w:val="bottom"/>
          </w:tcPr>
          <w:p w14:paraId="3510B555" w14:textId="77777777" w:rsidR="0054152A" w:rsidRPr="00DF13E6" w:rsidRDefault="0054152A" w:rsidP="00DB4011">
            <w:pPr>
              <w:pStyle w:val="Tabletext"/>
            </w:pPr>
            <w:r w:rsidRPr="00DB012F">
              <w:rPr>
                <w:rFonts w:ascii="Calibri" w:hAnsi="Calibri" w:cs="Calibri"/>
                <w:color w:val="000000"/>
                <w:lang w:eastAsia="en-GB"/>
              </w:rPr>
              <w:t>spider crab</w:t>
            </w:r>
          </w:p>
        </w:tc>
        <w:tc>
          <w:tcPr>
            <w:tcW w:w="1260" w:type="dxa"/>
            <w:tcBorders>
              <w:top w:val="nil"/>
              <w:left w:val="single" w:sz="4" w:space="0" w:color="auto"/>
              <w:right w:val="single" w:sz="4" w:space="0" w:color="auto"/>
            </w:tcBorders>
            <w:shd w:val="clear" w:color="auto" w:fill="auto"/>
            <w:noWrap/>
            <w:vAlign w:val="bottom"/>
          </w:tcPr>
          <w:p w14:paraId="5D093D31" w14:textId="77777777" w:rsidR="0054152A" w:rsidRPr="00DF13E6" w:rsidRDefault="0054152A" w:rsidP="00DB4011">
            <w:pPr>
              <w:pStyle w:val="Tabletext"/>
              <w:jc w:val="center"/>
            </w:pPr>
            <w:r>
              <w:t>R</w:t>
            </w:r>
          </w:p>
        </w:tc>
        <w:tc>
          <w:tcPr>
            <w:tcW w:w="720" w:type="dxa"/>
            <w:tcBorders>
              <w:top w:val="nil"/>
              <w:left w:val="single" w:sz="4" w:space="0" w:color="auto"/>
              <w:right w:val="single" w:sz="4" w:space="0" w:color="auto"/>
            </w:tcBorders>
            <w:shd w:val="clear" w:color="auto" w:fill="auto"/>
            <w:noWrap/>
          </w:tcPr>
          <w:p w14:paraId="467D6D4C" w14:textId="77777777" w:rsidR="0054152A" w:rsidRPr="00DF13E6" w:rsidRDefault="0054152A" w:rsidP="00DB4011">
            <w:pPr>
              <w:pStyle w:val="Tabletext"/>
            </w:pPr>
            <w:r w:rsidRPr="000727CD">
              <w:t>&lt;½ %</w:t>
            </w:r>
          </w:p>
        </w:tc>
        <w:tc>
          <w:tcPr>
            <w:tcW w:w="900" w:type="dxa"/>
            <w:tcBorders>
              <w:top w:val="nil"/>
              <w:left w:val="single" w:sz="4" w:space="0" w:color="auto"/>
              <w:right w:val="single" w:sz="4" w:space="0" w:color="auto"/>
            </w:tcBorders>
            <w:shd w:val="clear" w:color="auto" w:fill="auto"/>
            <w:noWrap/>
          </w:tcPr>
          <w:p w14:paraId="54D6D70C" w14:textId="77777777" w:rsidR="0054152A" w:rsidRPr="00DF13E6" w:rsidRDefault="0054152A" w:rsidP="00DB4011">
            <w:pPr>
              <w:pStyle w:val="Tabletext"/>
              <w:jc w:val="center"/>
            </w:pPr>
            <w:r w:rsidRPr="00B3158A">
              <w:t>mi</w:t>
            </w:r>
          </w:p>
        </w:tc>
        <w:tc>
          <w:tcPr>
            <w:tcW w:w="1260" w:type="dxa"/>
            <w:tcBorders>
              <w:top w:val="nil"/>
              <w:left w:val="single" w:sz="4" w:space="0" w:color="auto"/>
              <w:right w:val="single" w:sz="4" w:space="0" w:color="auto"/>
            </w:tcBorders>
            <w:shd w:val="clear" w:color="auto" w:fill="auto"/>
            <w:noWrap/>
            <w:vAlign w:val="bottom"/>
          </w:tcPr>
          <w:p w14:paraId="5104CA6A" w14:textId="77777777" w:rsidR="0054152A" w:rsidRPr="00DF13E6" w:rsidRDefault="0054152A" w:rsidP="00DB4011">
            <w:pPr>
              <w:pStyle w:val="Tabletext"/>
              <w:jc w:val="center"/>
            </w:pPr>
            <w:r>
              <w:t>Y</w:t>
            </w:r>
          </w:p>
        </w:tc>
        <w:tc>
          <w:tcPr>
            <w:tcW w:w="1800" w:type="dxa"/>
            <w:tcBorders>
              <w:top w:val="nil"/>
              <w:left w:val="single" w:sz="4" w:space="0" w:color="auto"/>
              <w:right w:val="single" w:sz="4" w:space="0" w:color="auto"/>
            </w:tcBorders>
            <w:shd w:val="clear" w:color="auto" w:fill="auto"/>
            <w:noWrap/>
            <w:vAlign w:val="bottom"/>
          </w:tcPr>
          <w:p w14:paraId="3FD6234B" w14:textId="77777777" w:rsidR="0054152A" w:rsidRPr="00DF13E6" w:rsidRDefault="0054152A" w:rsidP="00DB4011">
            <w:pPr>
              <w:pStyle w:val="Tabletext"/>
            </w:pPr>
            <w:r>
              <w:t>management limit</w:t>
            </w:r>
          </w:p>
        </w:tc>
        <w:tc>
          <w:tcPr>
            <w:tcW w:w="1170" w:type="dxa"/>
            <w:tcBorders>
              <w:top w:val="nil"/>
              <w:left w:val="single" w:sz="4" w:space="0" w:color="auto"/>
              <w:right w:val="single" w:sz="4" w:space="0" w:color="auto"/>
            </w:tcBorders>
            <w:shd w:val="clear" w:color="auto" w:fill="EAF1DD" w:themeFill="accent3" w:themeFillTint="33"/>
            <w:noWrap/>
          </w:tcPr>
          <w:p w14:paraId="1514C579" w14:textId="75C8AD2E" w:rsidR="0054152A" w:rsidRPr="00DF13E6" w:rsidRDefault="0054152A" w:rsidP="00DB4011">
            <w:pPr>
              <w:pStyle w:val="Tabletext"/>
              <w:jc w:val="center"/>
            </w:pPr>
            <w:proofErr w:type="spellStart"/>
            <w:r w:rsidRPr="00910CA9">
              <w:t>S</w:t>
            </w:r>
            <w:r w:rsidRPr="00910CA9">
              <w:rPr>
                <w:vertAlign w:val="subscript"/>
              </w:rPr>
              <w:t>m</w:t>
            </w:r>
            <w:r>
              <w:rPr>
                <w:vertAlign w:val="subscript"/>
              </w:rPr>
              <w:t>i</w:t>
            </w:r>
            <w:proofErr w:type="spellEnd"/>
          </w:p>
        </w:tc>
        <w:tc>
          <w:tcPr>
            <w:tcW w:w="1064" w:type="dxa"/>
            <w:tcBorders>
              <w:top w:val="nil"/>
              <w:left w:val="single" w:sz="4" w:space="0" w:color="auto"/>
              <w:right w:val="single" w:sz="4" w:space="0" w:color="auto"/>
            </w:tcBorders>
            <w:shd w:val="clear" w:color="auto" w:fill="auto"/>
            <w:noWrap/>
            <w:vAlign w:val="bottom"/>
          </w:tcPr>
          <w:p w14:paraId="58E86289" w14:textId="77777777" w:rsidR="0054152A" w:rsidRPr="00DF13E6" w:rsidRDefault="0054152A" w:rsidP="00DB4011">
            <w:pPr>
              <w:pStyle w:val="Tabletext"/>
              <w:jc w:val="center"/>
            </w:pPr>
            <w:r>
              <w:t>y</w:t>
            </w:r>
          </w:p>
        </w:tc>
        <w:tc>
          <w:tcPr>
            <w:tcW w:w="992" w:type="dxa"/>
            <w:tcBorders>
              <w:top w:val="nil"/>
              <w:left w:val="single" w:sz="4" w:space="0" w:color="auto"/>
              <w:right w:val="single" w:sz="4" w:space="0" w:color="auto"/>
            </w:tcBorders>
            <w:shd w:val="clear" w:color="auto" w:fill="auto"/>
            <w:noWrap/>
          </w:tcPr>
          <w:p w14:paraId="661908B8" w14:textId="77777777" w:rsidR="0054152A" w:rsidRPr="00DF13E6" w:rsidRDefault="0054152A" w:rsidP="00DB4011">
            <w:pPr>
              <w:pStyle w:val="Tabletext"/>
            </w:pPr>
            <w:r w:rsidRPr="00FD4DB0">
              <w:t>RBF</w:t>
            </w:r>
          </w:p>
        </w:tc>
      </w:tr>
      <w:tr w:rsidR="0054152A" w:rsidRPr="00DF13E6" w14:paraId="7A0E8F32" w14:textId="77777777" w:rsidTr="000968EC">
        <w:trPr>
          <w:trHeight w:val="300"/>
        </w:trPr>
        <w:tc>
          <w:tcPr>
            <w:tcW w:w="1995" w:type="dxa"/>
            <w:tcBorders>
              <w:top w:val="nil"/>
              <w:left w:val="single" w:sz="4" w:space="0" w:color="auto"/>
              <w:right w:val="single" w:sz="4" w:space="0" w:color="auto"/>
            </w:tcBorders>
            <w:shd w:val="clear" w:color="000000" w:fill="FFFFFF"/>
            <w:noWrap/>
            <w:vAlign w:val="center"/>
          </w:tcPr>
          <w:p w14:paraId="77B7D775" w14:textId="1353CF65" w:rsidR="0054152A" w:rsidRPr="0054152A" w:rsidRDefault="006B4F3C" w:rsidP="00DB4011">
            <w:pPr>
              <w:pStyle w:val="Tabletext"/>
              <w:rPr>
                <w:i/>
              </w:rPr>
            </w:pPr>
            <w:hyperlink r:id="rId27" w:tooltip="Link: Palinurus elephas species account" w:history="1">
              <w:proofErr w:type="spellStart"/>
              <w:r w:rsidR="0054152A" w:rsidRPr="0054152A">
                <w:rPr>
                  <w:i/>
                </w:rPr>
                <w:t>Palinurus</w:t>
              </w:r>
              <w:proofErr w:type="spellEnd"/>
              <w:r w:rsidR="0054152A" w:rsidRPr="0054152A">
                <w:rPr>
                  <w:i/>
                </w:rPr>
                <w:t xml:space="preserve"> </w:t>
              </w:r>
              <w:proofErr w:type="spellStart"/>
              <w:r w:rsidR="0054152A" w:rsidRPr="0054152A">
                <w:rPr>
                  <w:i/>
                </w:rPr>
                <w:t>elephas</w:t>
              </w:r>
              <w:proofErr w:type="spellEnd"/>
            </w:hyperlink>
          </w:p>
        </w:tc>
        <w:tc>
          <w:tcPr>
            <w:tcW w:w="1499" w:type="dxa"/>
            <w:tcBorders>
              <w:top w:val="nil"/>
              <w:left w:val="single" w:sz="4" w:space="0" w:color="auto"/>
              <w:right w:val="single" w:sz="4" w:space="0" w:color="auto"/>
            </w:tcBorders>
            <w:shd w:val="clear" w:color="000000" w:fill="FFFFFF"/>
            <w:noWrap/>
            <w:vAlign w:val="bottom"/>
          </w:tcPr>
          <w:p w14:paraId="62D1905F" w14:textId="77777777" w:rsidR="0054152A" w:rsidRPr="00DF13E6" w:rsidRDefault="0054152A" w:rsidP="00DB4011">
            <w:pPr>
              <w:pStyle w:val="Tabletext"/>
            </w:pPr>
            <w:r w:rsidRPr="00DB012F">
              <w:rPr>
                <w:rFonts w:ascii="Calibri" w:hAnsi="Calibri" w:cs="Calibri"/>
                <w:color w:val="000000"/>
                <w:lang w:eastAsia="en-GB"/>
              </w:rPr>
              <w:t>crawfish</w:t>
            </w:r>
          </w:p>
        </w:tc>
        <w:tc>
          <w:tcPr>
            <w:tcW w:w="1260" w:type="dxa"/>
            <w:tcBorders>
              <w:top w:val="nil"/>
              <w:left w:val="single" w:sz="4" w:space="0" w:color="auto"/>
              <w:right w:val="single" w:sz="4" w:space="0" w:color="auto"/>
            </w:tcBorders>
            <w:shd w:val="clear" w:color="auto" w:fill="auto"/>
            <w:noWrap/>
            <w:vAlign w:val="bottom"/>
          </w:tcPr>
          <w:p w14:paraId="1C9C89DF" w14:textId="77777777" w:rsidR="0054152A" w:rsidRPr="00DF13E6" w:rsidRDefault="0054152A" w:rsidP="00DB4011">
            <w:pPr>
              <w:pStyle w:val="Tabletext"/>
              <w:jc w:val="center"/>
            </w:pPr>
            <w:r>
              <w:t>R</w:t>
            </w:r>
          </w:p>
        </w:tc>
        <w:tc>
          <w:tcPr>
            <w:tcW w:w="720" w:type="dxa"/>
            <w:tcBorders>
              <w:top w:val="nil"/>
              <w:left w:val="single" w:sz="4" w:space="0" w:color="auto"/>
              <w:right w:val="single" w:sz="4" w:space="0" w:color="auto"/>
            </w:tcBorders>
            <w:shd w:val="clear" w:color="auto" w:fill="auto"/>
            <w:noWrap/>
          </w:tcPr>
          <w:p w14:paraId="3C61DF11" w14:textId="77777777" w:rsidR="0054152A" w:rsidRPr="00DF13E6" w:rsidRDefault="0054152A" w:rsidP="00DB4011">
            <w:pPr>
              <w:pStyle w:val="Tabletext"/>
            </w:pPr>
            <w:r w:rsidRPr="000727CD">
              <w:t>&lt;½ %</w:t>
            </w:r>
          </w:p>
        </w:tc>
        <w:tc>
          <w:tcPr>
            <w:tcW w:w="900" w:type="dxa"/>
            <w:tcBorders>
              <w:top w:val="nil"/>
              <w:left w:val="single" w:sz="4" w:space="0" w:color="auto"/>
              <w:right w:val="single" w:sz="4" w:space="0" w:color="auto"/>
            </w:tcBorders>
            <w:shd w:val="clear" w:color="auto" w:fill="auto"/>
            <w:noWrap/>
          </w:tcPr>
          <w:p w14:paraId="11B76BB7" w14:textId="77777777" w:rsidR="0054152A" w:rsidRPr="00DF13E6" w:rsidRDefault="0054152A" w:rsidP="00DB4011">
            <w:pPr>
              <w:pStyle w:val="Tabletext"/>
              <w:jc w:val="center"/>
            </w:pPr>
            <w:r w:rsidRPr="00B3158A">
              <w:t>mi</w:t>
            </w:r>
          </w:p>
        </w:tc>
        <w:tc>
          <w:tcPr>
            <w:tcW w:w="1260" w:type="dxa"/>
            <w:tcBorders>
              <w:top w:val="nil"/>
              <w:left w:val="single" w:sz="4" w:space="0" w:color="auto"/>
              <w:right w:val="single" w:sz="4" w:space="0" w:color="auto"/>
            </w:tcBorders>
            <w:shd w:val="clear" w:color="auto" w:fill="auto"/>
            <w:noWrap/>
            <w:vAlign w:val="bottom"/>
          </w:tcPr>
          <w:p w14:paraId="44AC0B78" w14:textId="77777777" w:rsidR="0054152A" w:rsidRPr="00DF13E6" w:rsidRDefault="0054152A" w:rsidP="00DB4011">
            <w:pPr>
              <w:pStyle w:val="Tabletext"/>
              <w:jc w:val="center"/>
            </w:pPr>
            <w:r>
              <w:t>N</w:t>
            </w:r>
          </w:p>
        </w:tc>
        <w:tc>
          <w:tcPr>
            <w:tcW w:w="1800" w:type="dxa"/>
            <w:tcBorders>
              <w:top w:val="nil"/>
              <w:left w:val="single" w:sz="4" w:space="0" w:color="auto"/>
              <w:right w:val="single" w:sz="4" w:space="0" w:color="auto"/>
            </w:tcBorders>
            <w:shd w:val="clear" w:color="auto" w:fill="auto"/>
            <w:noWrap/>
            <w:vAlign w:val="bottom"/>
          </w:tcPr>
          <w:p w14:paraId="1740D915" w14:textId="77777777" w:rsidR="0054152A" w:rsidRPr="00DF13E6" w:rsidRDefault="0054152A" w:rsidP="00DB4011">
            <w:pPr>
              <w:pStyle w:val="Tabletext"/>
            </w:pPr>
          </w:p>
        </w:tc>
        <w:tc>
          <w:tcPr>
            <w:tcW w:w="1170" w:type="dxa"/>
            <w:tcBorders>
              <w:top w:val="nil"/>
              <w:left w:val="single" w:sz="4" w:space="0" w:color="auto"/>
              <w:right w:val="single" w:sz="4" w:space="0" w:color="auto"/>
            </w:tcBorders>
            <w:shd w:val="clear" w:color="auto" w:fill="EAF1DD" w:themeFill="accent3" w:themeFillTint="33"/>
            <w:noWrap/>
          </w:tcPr>
          <w:p w14:paraId="2DD4AFFB" w14:textId="2EA8ABB5" w:rsidR="0054152A" w:rsidRPr="00DF13E6" w:rsidRDefault="0054152A" w:rsidP="00DB4011">
            <w:pPr>
              <w:pStyle w:val="Tabletext"/>
              <w:jc w:val="center"/>
            </w:pPr>
            <w:proofErr w:type="spellStart"/>
            <w:r w:rsidRPr="00910CA9">
              <w:t>S</w:t>
            </w:r>
            <w:r w:rsidRPr="00910CA9">
              <w:rPr>
                <w:vertAlign w:val="subscript"/>
              </w:rPr>
              <w:t>m</w:t>
            </w:r>
            <w:r>
              <w:rPr>
                <w:vertAlign w:val="subscript"/>
              </w:rPr>
              <w:t>i</w:t>
            </w:r>
            <w:proofErr w:type="spellEnd"/>
          </w:p>
        </w:tc>
        <w:tc>
          <w:tcPr>
            <w:tcW w:w="1064" w:type="dxa"/>
            <w:tcBorders>
              <w:top w:val="nil"/>
              <w:left w:val="single" w:sz="4" w:space="0" w:color="auto"/>
              <w:right w:val="single" w:sz="4" w:space="0" w:color="auto"/>
            </w:tcBorders>
            <w:shd w:val="clear" w:color="auto" w:fill="auto"/>
            <w:noWrap/>
            <w:vAlign w:val="bottom"/>
          </w:tcPr>
          <w:p w14:paraId="536FF03F" w14:textId="77777777" w:rsidR="0054152A" w:rsidRPr="00DF13E6" w:rsidRDefault="0054152A" w:rsidP="00DB4011">
            <w:pPr>
              <w:pStyle w:val="Tabletext"/>
              <w:jc w:val="center"/>
            </w:pPr>
          </w:p>
        </w:tc>
        <w:tc>
          <w:tcPr>
            <w:tcW w:w="992" w:type="dxa"/>
            <w:tcBorders>
              <w:top w:val="nil"/>
              <w:left w:val="single" w:sz="4" w:space="0" w:color="auto"/>
              <w:right w:val="single" w:sz="4" w:space="0" w:color="auto"/>
            </w:tcBorders>
            <w:shd w:val="clear" w:color="auto" w:fill="auto"/>
            <w:noWrap/>
          </w:tcPr>
          <w:p w14:paraId="08608658" w14:textId="77777777" w:rsidR="0054152A" w:rsidRPr="00DF13E6" w:rsidRDefault="0054152A" w:rsidP="00DB4011">
            <w:pPr>
              <w:pStyle w:val="Tabletext"/>
            </w:pPr>
            <w:r w:rsidRPr="00FD4DB0">
              <w:t>RBF</w:t>
            </w:r>
          </w:p>
        </w:tc>
      </w:tr>
      <w:tr w:rsidR="0054152A" w:rsidRPr="00DF13E6" w14:paraId="2C5B7435" w14:textId="77777777" w:rsidTr="000968EC">
        <w:trPr>
          <w:trHeight w:val="300"/>
        </w:trPr>
        <w:tc>
          <w:tcPr>
            <w:tcW w:w="1995" w:type="dxa"/>
            <w:tcBorders>
              <w:top w:val="nil"/>
              <w:left w:val="single" w:sz="4" w:space="0" w:color="auto"/>
              <w:bottom w:val="single" w:sz="4" w:space="0" w:color="auto"/>
              <w:right w:val="single" w:sz="4" w:space="0" w:color="auto"/>
            </w:tcBorders>
            <w:shd w:val="clear" w:color="000000" w:fill="FFFFFF"/>
            <w:noWrap/>
            <w:vAlign w:val="center"/>
          </w:tcPr>
          <w:p w14:paraId="1B9857F8" w14:textId="47D01E9A" w:rsidR="0054152A" w:rsidRPr="0054152A" w:rsidRDefault="0054152A" w:rsidP="00DB4011">
            <w:pPr>
              <w:pStyle w:val="Tabletext"/>
              <w:rPr>
                <w:i/>
              </w:rPr>
            </w:pPr>
            <w:proofErr w:type="spellStart"/>
            <w:r w:rsidRPr="0054152A">
              <w:rPr>
                <w:i/>
              </w:rPr>
              <w:t>Pollachius</w:t>
            </w:r>
            <w:proofErr w:type="spellEnd"/>
            <w:r w:rsidRPr="0054152A">
              <w:rPr>
                <w:i/>
              </w:rPr>
              <w:t xml:space="preserve"> </w:t>
            </w:r>
            <w:proofErr w:type="spellStart"/>
            <w:r w:rsidRPr="0054152A">
              <w:rPr>
                <w:i/>
              </w:rPr>
              <w:t>pollachius</w:t>
            </w:r>
            <w:proofErr w:type="spellEnd"/>
          </w:p>
        </w:tc>
        <w:tc>
          <w:tcPr>
            <w:tcW w:w="1499" w:type="dxa"/>
            <w:tcBorders>
              <w:top w:val="nil"/>
              <w:left w:val="single" w:sz="4" w:space="0" w:color="auto"/>
              <w:bottom w:val="single" w:sz="4" w:space="0" w:color="auto"/>
              <w:right w:val="single" w:sz="4" w:space="0" w:color="auto"/>
            </w:tcBorders>
            <w:shd w:val="clear" w:color="000000" w:fill="FFFFFF"/>
            <w:noWrap/>
          </w:tcPr>
          <w:p w14:paraId="3E7380AA" w14:textId="3C21C2BC" w:rsidR="0054152A" w:rsidRPr="00DF13E6" w:rsidRDefault="00A52B1F" w:rsidP="00B167B3">
            <w:pPr>
              <w:pStyle w:val="Tabletext"/>
            </w:pPr>
            <w:r>
              <w:rPr>
                <w:rFonts w:ascii="Calibri" w:hAnsi="Calibri" w:cs="Calibri"/>
                <w:color w:val="000000"/>
                <w:lang w:eastAsia="en-GB"/>
              </w:rPr>
              <w:t>pollock</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701BBCBE" w14:textId="77777777" w:rsidR="0054152A" w:rsidRPr="00DF13E6" w:rsidRDefault="0054152A" w:rsidP="00DB4011">
            <w:pPr>
              <w:pStyle w:val="Tabletext"/>
              <w:jc w:val="center"/>
            </w:pPr>
            <w:r>
              <w:t>R</w:t>
            </w:r>
          </w:p>
        </w:tc>
        <w:tc>
          <w:tcPr>
            <w:tcW w:w="720" w:type="dxa"/>
            <w:tcBorders>
              <w:top w:val="nil"/>
              <w:left w:val="single" w:sz="4" w:space="0" w:color="auto"/>
              <w:bottom w:val="single" w:sz="4" w:space="0" w:color="auto"/>
              <w:right w:val="single" w:sz="4" w:space="0" w:color="auto"/>
            </w:tcBorders>
            <w:shd w:val="clear" w:color="auto" w:fill="auto"/>
            <w:noWrap/>
          </w:tcPr>
          <w:p w14:paraId="7324ADB2" w14:textId="77777777" w:rsidR="0054152A" w:rsidRPr="00DF13E6" w:rsidRDefault="0054152A" w:rsidP="00DB4011">
            <w:pPr>
              <w:pStyle w:val="Tabletext"/>
            </w:pPr>
            <w:r w:rsidRPr="000727CD">
              <w:t>&lt;½ %</w:t>
            </w:r>
          </w:p>
        </w:tc>
        <w:tc>
          <w:tcPr>
            <w:tcW w:w="900" w:type="dxa"/>
            <w:tcBorders>
              <w:top w:val="nil"/>
              <w:left w:val="single" w:sz="4" w:space="0" w:color="auto"/>
              <w:bottom w:val="single" w:sz="4" w:space="0" w:color="auto"/>
              <w:right w:val="single" w:sz="4" w:space="0" w:color="auto"/>
            </w:tcBorders>
            <w:shd w:val="clear" w:color="auto" w:fill="auto"/>
            <w:noWrap/>
          </w:tcPr>
          <w:p w14:paraId="61287C6C" w14:textId="77777777" w:rsidR="0054152A" w:rsidRPr="00DF13E6" w:rsidRDefault="0054152A" w:rsidP="00DB4011">
            <w:pPr>
              <w:pStyle w:val="Tabletext"/>
              <w:jc w:val="center"/>
            </w:pPr>
            <w:r w:rsidRPr="00B3158A">
              <w:t>mi</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693A37B0" w14:textId="77777777" w:rsidR="0054152A" w:rsidRPr="00DF13E6" w:rsidRDefault="0054152A" w:rsidP="00DB4011">
            <w:pPr>
              <w:pStyle w:val="Tabletext"/>
              <w:jc w:val="center"/>
            </w:pPr>
            <w:r>
              <w:t>N</w:t>
            </w:r>
          </w:p>
        </w:tc>
        <w:tc>
          <w:tcPr>
            <w:tcW w:w="1800" w:type="dxa"/>
            <w:tcBorders>
              <w:top w:val="nil"/>
              <w:left w:val="single" w:sz="4" w:space="0" w:color="auto"/>
              <w:bottom w:val="single" w:sz="4" w:space="0" w:color="auto"/>
              <w:right w:val="single" w:sz="4" w:space="0" w:color="auto"/>
            </w:tcBorders>
            <w:shd w:val="clear" w:color="auto" w:fill="auto"/>
            <w:noWrap/>
            <w:vAlign w:val="bottom"/>
          </w:tcPr>
          <w:p w14:paraId="79774FD3" w14:textId="77777777" w:rsidR="0054152A" w:rsidRPr="00DF13E6" w:rsidRDefault="0054152A" w:rsidP="00DB4011">
            <w:pPr>
              <w:pStyle w:val="Tabletext"/>
            </w:pPr>
          </w:p>
        </w:tc>
        <w:tc>
          <w:tcPr>
            <w:tcW w:w="1170" w:type="dxa"/>
            <w:tcBorders>
              <w:top w:val="nil"/>
              <w:left w:val="single" w:sz="4" w:space="0" w:color="auto"/>
              <w:bottom w:val="single" w:sz="4" w:space="0" w:color="auto"/>
              <w:right w:val="single" w:sz="4" w:space="0" w:color="auto"/>
            </w:tcBorders>
            <w:shd w:val="clear" w:color="auto" w:fill="EAF1DD" w:themeFill="accent3" w:themeFillTint="33"/>
            <w:noWrap/>
          </w:tcPr>
          <w:p w14:paraId="713E3947" w14:textId="17D00B1C" w:rsidR="0054152A" w:rsidRPr="00DF13E6" w:rsidRDefault="0054152A" w:rsidP="00DB4011">
            <w:pPr>
              <w:pStyle w:val="Tabletext"/>
              <w:jc w:val="center"/>
            </w:pPr>
            <w:proofErr w:type="spellStart"/>
            <w:r w:rsidRPr="00910CA9">
              <w:t>S</w:t>
            </w:r>
            <w:r w:rsidRPr="00910CA9">
              <w:rPr>
                <w:vertAlign w:val="subscript"/>
              </w:rPr>
              <w:t>m</w:t>
            </w:r>
            <w:r>
              <w:rPr>
                <w:vertAlign w:val="subscript"/>
              </w:rPr>
              <w:t>i</w:t>
            </w:r>
            <w:proofErr w:type="spellEnd"/>
          </w:p>
        </w:tc>
        <w:tc>
          <w:tcPr>
            <w:tcW w:w="1064" w:type="dxa"/>
            <w:tcBorders>
              <w:top w:val="nil"/>
              <w:left w:val="single" w:sz="4" w:space="0" w:color="auto"/>
              <w:bottom w:val="single" w:sz="4" w:space="0" w:color="auto"/>
              <w:right w:val="single" w:sz="4" w:space="0" w:color="auto"/>
            </w:tcBorders>
            <w:shd w:val="clear" w:color="auto" w:fill="auto"/>
            <w:noWrap/>
            <w:vAlign w:val="bottom"/>
          </w:tcPr>
          <w:p w14:paraId="7B283AB9" w14:textId="77777777" w:rsidR="0054152A" w:rsidRPr="00DF13E6" w:rsidRDefault="0054152A" w:rsidP="00DB4011">
            <w:pPr>
              <w:pStyle w:val="Tabletext"/>
              <w:jc w:val="center"/>
            </w:pPr>
          </w:p>
        </w:tc>
        <w:tc>
          <w:tcPr>
            <w:tcW w:w="992" w:type="dxa"/>
            <w:tcBorders>
              <w:top w:val="nil"/>
              <w:left w:val="single" w:sz="4" w:space="0" w:color="auto"/>
              <w:bottom w:val="single" w:sz="4" w:space="0" w:color="auto"/>
              <w:right w:val="single" w:sz="4" w:space="0" w:color="auto"/>
            </w:tcBorders>
            <w:shd w:val="clear" w:color="auto" w:fill="auto"/>
            <w:noWrap/>
          </w:tcPr>
          <w:p w14:paraId="5161B4A1" w14:textId="77777777" w:rsidR="0054152A" w:rsidRPr="00DF13E6" w:rsidRDefault="0054152A" w:rsidP="00DB4011">
            <w:pPr>
              <w:pStyle w:val="Tabletext"/>
            </w:pPr>
            <w:r w:rsidRPr="00FD4DB0">
              <w:t>RBF</w:t>
            </w:r>
          </w:p>
        </w:tc>
      </w:tr>
      <w:tr w:rsidR="00B167B3" w:rsidRPr="00DF13E6" w14:paraId="38359A39" w14:textId="77777777" w:rsidTr="000968EC">
        <w:trPr>
          <w:trHeight w:val="300"/>
        </w:trPr>
        <w:tc>
          <w:tcPr>
            <w:tcW w:w="199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602CC6" w14:textId="715E2455" w:rsidR="00B167B3" w:rsidRPr="0054152A" w:rsidRDefault="00C2700F" w:rsidP="00B12E6D">
            <w:pPr>
              <w:pStyle w:val="Tabletext"/>
              <w:rPr>
                <w:i/>
              </w:rPr>
            </w:pPr>
            <w:proofErr w:type="spellStart"/>
            <w:r w:rsidRPr="0054152A">
              <w:rPr>
                <w:i/>
              </w:rPr>
              <w:t>Buccinum</w:t>
            </w:r>
            <w:proofErr w:type="spellEnd"/>
            <w:r w:rsidR="00FB53E3">
              <w:rPr>
                <w:i/>
              </w:rPr>
              <w:t xml:space="preserve"> </w:t>
            </w:r>
            <w:proofErr w:type="spellStart"/>
            <w:r w:rsidR="00FB53E3">
              <w:rPr>
                <w:i/>
              </w:rPr>
              <w:t>undatum</w:t>
            </w:r>
            <w:proofErr w:type="spellEnd"/>
          </w:p>
        </w:tc>
        <w:tc>
          <w:tcPr>
            <w:tcW w:w="1499" w:type="dxa"/>
            <w:tcBorders>
              <w:top w:val="single" w:sz="4" w:space="0" w:color="auto"/>
              <w:left w:val="single" w:sz="4" w:space="0" w:color="auto"/>
              <w:bottom w:val="single" w:sz="4" w:space="0" w:color="auto"/>
              <w:right w:val="single" w:sz="4" w:space="0" w:color="auto"/>
            </w:tcBorders>
            <w:shd w:val="clear" w:color="000000" w:fill="FFFFFF"/>
            <w:noWrap/>
          </w:tcPr>
          <w:p w14:paraId="58A286DD" w14:textId="77777777" w:rsidR="00B167B3" w:rsidRPr="00DF13E6" w:rsidRDefault="00B167B3" w:rsidP="00B12E6D">
            <w:pPr>
              <w:pStyle w:val="Tabletext"/>
            </w:pPr>
            <w:r>
              <w:t>whelk</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1CAB71" w14:textId="77777777" w:rsidR="00B167B3" w:rsidRPr="00DF13E6" w:rsidRDefault="00B167B3" w:rsidP="00B12E6D">
            <w:pPr>
              <w:pStyle w:val="Tabletext"/>
              <w:jc w:val="center"/>
            </w:pPr>
            <w:r>
              <w:t>D</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EA021D" w14:textId="77777777" w:rsidR="00B167B3" w:rsidRPr="00DF13E6" w:rsidRDefault="00B167B3" w:rsidP="00B12E6D">
            <w:pPr>
              <w:pStyle w:val="Tabletext"/>
            </w:pPr>
            <w:r>
              <w:t>&lt;1%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5FFA50" w14:textId="77777777" w:rsidR="00B167B3" w:rsidRPr="00DF13E6" w:rsidRDefault="00B167B3" w:rsidP="00B12E6D">
            <w:pPr>
              <w:pStyle w:val="Tabletext"/>
              <w:jc w:val="center"/>
            </w:pPr>
            <w:r>
              <w:t>ma</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12987E" w14:textId="77777777" w:rsidR="00B167B3" w:rsidRPr="00DF13E6" w:rsidRDefault="00B167B3" w:rsidP="00B12E6D">
            <w:pPr>
              <w:pStyle w:val="Tabletext"/>
              <w:jc w:val="center"/>
            </w:pPr>
            <w:r>
              <w:t>Y</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70F3EA" w14:textId="77777777" w:rsidR="00B167B3" w:rsidRPr="00DF13E6" w:rsidRDefault="00B167B3" w:rsidP="00B12E6D">
            <w:pPr>
              <w:pStyle w:val="Tabletext"/>
            </w:pPr>
            <w:r>
              <w:t>management limit</w:t>
            </w:r>
          </w:p>
        </w:tc>
        <w:tc>
          <w:tcPr>
            <w:tcW w:w="1170"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bottom"/>
          </w:tcPr>
          <w:p w14:paraId="794A1F30" w14:textId="2346E82C" w:rsidR="00B167B3" w:rsidRPr="00DF13E6" w:rsidRDefault="0054152A" w:rsidP="00B12E6D">
            <w:pPr>
              <w:pStyle w:val="Tabletext"/>
              <w:jc w:val="center"/>
            </w:pPr>
            <w:proofErr w:type="spellStart"/>
            <w:r w:rsidRPr="006617E1">
              <w:t>S</w:t>
            </w:r>
            <w:r w:rsidRPr="0054152A">
              <w:rPr>
                <w:vertAlign w:val="subscript"/>
              </w:rPr>
              <w:t>m</w:t>
            </w:r>
            <w:r>
              <w:rPr>
                <w:vertAlign w:val="subscript"/>
              </w:rPr>
              <w:t>i</w:t>
            </w:r>
            <w:proofErr w:type="spellEnd"/>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9B63B5" w14:textId="77777777" w:rsidR="00B167B3" w:rsidRPr="00DF13E6" w:rsidRDefault="00B167B3" w:rsidP="00B12E6D">
            <w:pPr>
              <w:pStyle w:val="Tabletext"/>
              <w:jc w:val="center"/>
            </w:pPr>
            <w:r>
              <w:t>y</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4CE68E" w14:textId="77777777" w:rsidR="00B167B3" w:rsidRPr="00DF13E6" w:rsidRDefault="00B167B3" w:rsidP="00B12E6D">
            <w:pPr>
              <w:pStyle w:val="Tabletext"/>
            </w:pPr>
            <w:r>
              <w:t>default</w:t>
            </w:r>
          </w:p>
        </w:tc>
      </w:tr>
      <w:tr w:rsidR="00BE6E5F" w:rsidRPr="00DF13E6" w14:paraId="630208A7" w14:textId="77777777" w:rsidTr="000968EC">
        <w:trPr>
          <w:trHeight w:val="300"/>
        </w:trPr>
        <w:tc>
          <w:tcPr>
            <w:tcW w:w="1995" w:type="dxa"/>
            <w:tcBorders>
              <w:top w:val="nil"/>
              <w:left w:val="single" w:sz="4" w:space="0" w:color="auto"/>
              <w:right w:val="single" w:sz="4" w:space="0" w:color="auto"/>
            </w:tcBorders>
            <w:shd w:val="clear" w:color="000000" w:fill="FFFFFF"/>
            <w:noWrap/>
            <w:vAlign w:val="center"/>
          </w:tcPr>
          <w:p w14:paraId="48D767F9" w14:textId="77777777" w:rsidR="00BE6E5F" w:rsidRPr="0054152A" w:rsidRDefault="00BE6E5F" w:rsidP="00B12E6D">
            <w:pPr>
              <w:pStyle w:val="Tabletext"/>
              <w:rPr>
                <w:i/>
              </w:rPr>
            </w:pPr>
            <w:proofErr w:type="spellStart"/>
            <w:r w:rsidRPr="0054152A">
              <w:rPr>
                <w:i/>
              </w:rPr>
              <w:t>Labridae</w:t>
            </w:r>
            <w:proofErr w:type="spellEnd"/>
          </w:p>
        </w:tc>
        <w:tc>
          <w:tcPr>
            <w:tcW w:w="1499" w:type="dxa"/>
            <w:tcBorders>
              <w:top w:val="nil"/>
              <w:left w:val="single" w:sz="4" w:space="0" w:color="auto"/>
              <w:right w:val="single" w:sz="4" w:space="0" w:color="auto"/>
            </w:tcBorders>
            <w:shd w:val="clear" w:color="000000" w:fill="FFFFFF"/>
            <w:noWrap/>
            <w:vAlign w:val="bottom"/>
          </w:tcPr>
          <w:p w14:paraId="0ABCAA5B" w14:textId="77777777" w:rsidR="00BE6E5F" w:rsidRDefault="00BE6E5F" w:rsidP="00B12E6D">
            <w:pPr>
              <w:pStyle w:val="Tabletext"/>
              <w:rPr>
                <w:rFonts w:ascii="Calibri" w:hAnsi="Calibri" w:cs="Calibri"/>
                <w:color w:val="000000"/>
                <w:lang w:eastAsia="en-GB"/>
              </w:rPr>
            </w:pPr>
            <w:r>
              <w:rPr>
                <w:rFonts w:ascii="Calibri" w:hAnsi="Calibri" w:cs="Calibri"/>
                <w:color w:val="000000"/>
                <w:lang w:eastAsia="en-GB"/>
              </w:rPr>
              <w:t>wrasse</w:t>
            </w:r>
          </w:p>
        </w:tc>
        <w:tc>
          <w:tcPr>
            <w:tcW w:w="1260" w:type="dxa"/>
            <w:tcBorders>
              <w:top w:val="nil"/>
              <w:left w:val="single" w:sz="4" w:space="0" w:color="auto"/>
              <w:right w:val="single" w:sz="4" w:space="0" w:color="auto"/>
            </w:tcBorders>
            <w:shd w:val="clear" w:color="auto" w:fill="auto"/>
            <w:noWrap/>
            <w:vAlign w:val="bottom"/>
          </w:tcPr>
          <w:p w14:paraId="02E011F2" w14:textId="77777777" w:rsidR="00BE6E5F" w:rsidRPr="00DF13E6" w:rsidRDefault="00BE6E5F" w:rsidP="00B12E6D">
            <w:pPr>
              <w:pStyle w:val="Tabletext"/>
              <w:jc w:val="center"/>
            </w:pPr>
            <w:r>
              <w:t>D</w:t>
            </w:r>
          </w:p>
        </w:tc>
        <w:tc>
          <w:tcPr>
            <w:tcW w:w="720" w:type="dxa"/>
            <w:tcBorders>
              <w:top w:val="nil"/>
              <w:left w:val="single" w:sz="4" w:space="0" w:color="auto"/>
              <w:right w:val="single" w:sz="4" w:space="0" w:color="auto"/>
            </w:tcBorders>
            <w:shd w:val="clear" w:color="auto" w:fill="auto"/>
            <w:noWrap/>
          </w:tcPr>
          <w:p w14:paraId="691D1CD2" w14:textId="77777777" w:rsidR="00BE6E5F" w:rsidRPr="00DF13E6" w:rsidRDefault="00BE6E5F" w:rsidP="00B12E6D">
            <w:pPr>
              <w:pStyle w:val="Tabletext"/>
            </w:pPr>
            <w:r w:rsidRPr="000727CD">
              <w:t>&lt;½ %</w:t>
            </w:r>
          </w:p>
        </w:tc>
        <w:tc>
          <w:tcPr>
            <w:tcW w:w="900" w:type="dxa"/>
            <w:tcBorders>
              <w:top w:val="nil"/>
              <w:left w:val="single" w:sz="4" w:space="0" w:color="auto"/>
              <w:right w:val="single" w:sz="4" w:space="0" w:color="auto"/>
            </w:tcBorders>
            <w:shd w:val="clear" w:color="auto" w:fill="auto"/>
            <w:noWrap/>
          </w:tcPr>
          <w:p w14:paraId="1CE78F11" w14:textId="77777777" w:rsidR="00BE6E5F" w:rsidRPr="00DF13E6" w:rsidRDefault="00BE6E5F" w:rsidP="00B12E6D">
            <w:pPr>
              <w:pStyle w:val="Tabletext"/>
              <w:jc w:val="center"/>
            </w:pPr>
            <w:r w:rsidRPr="00B3158A">
              <w:t>mi</w:t>
            </w:r>
          </w:p>
        </w:tc>
        <w:tc>
          <w:tcPr>
            <w:tcW w:w="1260" w:type="dxa"/>
            <w:tcBorders>
              <w:top w:val="nil"/>
              <w:left w:val="single" w:sz="4" w:space="0" w:color="auto"/>
              <w:right w:val="single" w:sz="4" w:space="0" w:color="auto"/>
            </w:tcBorders>
            <w:shd w:val="clear" w:color="auto" w:fill="auto"/>
            <w:noWrap/>
            <w:vAlign w:val="bottom"/>
          </w:tcPr>
          <w:p w14:paraId="7A68436F" w14:textId="77777777" w:rsidR="00BE6E5F" w:rsidRPr="00DF13E6" w:rsidRDefault="00BE6E5F" w:rsidP="00B12E6D">
            <w:pPr>
              <w:pStyle w:val="Tabletext"/>
              <w:jc w:val="center"/>
            </w:pPr>
            <w:r>
              <w:t>N</w:t>
            </w:r>
          </w:p>
        </w:tc>
        <w:tc>
          <w:tcPr>
            <w:tcW w:w="1800" w:type="dxa"/>
            <w:tcBorders>
              <w:top w:val="nil"/>
              <w:left w:val="single" w:sz="4" w:space="0" w:color="auto"/>
              <w:right w:val="single" w:sz="4" w:space="0" w:color="auto"/>
            </w:tcBorders>
            <w:shd w:val="clear" w:color="auto" w:fill="auto"/>
            <w:noWrap/>
            <w:vAlign w:val="bottom"/>
          </w:tcPr>
          <w:p w14:paraId="0CEFE560" w14:textId="77777777" w:rsidR="00BE6E5F" w:rsidRPr="00DF13E6" w:rsidRDefault="00BE6E5F" w:rsidP="00B12E6D">
            <w:pPr>
              <w:pStyle w:val="Tabletext"/>
            </w:pPr>
          </w:p>
        </w:tc>
        <w:tc>
          <w:tcPr>
            <w:tcW w:w="1170" w:type="dxa"/>
            <w:tcBorders>
              <w:top w:val="nil"/>
              <w:left w:val="single" w:sz="4" w:space="0" w:color="auto"/>
              <w:right w:val="single" w:sz="4" w:space="0" w:color="auto"/>
            </w:tcBorders>
            <w:shd w:val="clear" w:color="auto" w:fill="EAF1DD" w:themeFill="accent3" w:themeFillTint="33"/>
            <w:noWrap/>
          </w:tcPr>
          <w:p w14:paraId="6A3F4480" w14:textId="77777777" w:rsidR="00BE6E5F" w:rsidRPr="00DF13E6" w:rsidRDefault="00BE6E5F" w:rsidP="00B12E6D">
            <w:pPr>
              <w:pStyle w:val="Tabletext"/>
              <w:jc w:val="center"/>
            </w:pPr>
            <w:proofErr w:type="spellStart"/>
            <w:r w:rsidRPr="009C3D62">
              <w:t>S</w:t>
            </w:r>
            <w:r w:rsidRPr="009C3D62">
              <w:rPr>
                <w:vertAlign w:val="subscript"/>
              </w:rPr>
              <w:t>m</w:t>
            </w:r>
            <w:r>
              <w:rPr>
                <w:vertAlign w:val="subscript"/>
              </w:rPr>
              <w:t>i</w:t>
            </w:r>
            <w:proofErr w:type="spellEnd"/>
          </w:p>
        </w:tc>
        <w:tc>
          <w:tcPr>
            <w:tcW w:w="1064" w:type="dxa"/>
            <w:tcBorders>
              <w:top w:val="nil"/>
              <w:left w:val="single" w:sz="4" w:space="0" w:color="auto"/>
              <w:right w:val="single" w:sz="4" w:space="0" w:color="auto"/>
            </w:tcBorders>
            <w:shd w:val="clear" w:color="auto" w:fill="auto"/>
            <w:noWrap/>
            <w:vAlign w:val="bottom"/>
          </w:tcPr>
          <w:p w14:paraId="1833DE49" w14:textId="77777777" w:rsidR="00BE6E5F" w:rsidRPr="00DF13E6" w:rsidRDefault="00BE6E5F" w:rsidP="00B12E6D">
            <w:pPr>
              <w:pStyle w:val="Tabletext"/>
              <w:jc w:val="center"/>
            </w:pPr>
          </w:p>
        </w:tc>
        <w:tc>
          <w:tcPr>
            <w:tcW w:w="992" w:type="dxa"/>
            <w:tcBorders>
              <w:top w:val="nil"/>
              <w:left w:val="single" w:sz="4" w:space="0" w:color="auto"/>
              <w:right w:val="single" w:sz="4" w:space="0" w:color="auto"/>
            </w:tcBorders>
            <w:shd w:val="clear" w:color="auto" w:fill="auto"/>
            <w:noWrap/>
          </w:tcPr>
          <w:p w14:paraId="18E34CB2" w14:textId="77777777" w:rsidR="00BE6E5F" w:rsidRPr="00DF13E6" w:rsidRDefault="00BE6E5F" w:rsidP="00B12E6D">
            <w:pPr>
              <w:pStyle w:val="Tabletext"/>
            </w:pPr>
            <w:r w:rsidRPr="00FD4DB0">
              <w:t>RBF</w:t>
            </w:r>
          </w:p>
        </w:tc>
      </w:tr>
      <w:tr w:rsidR="00BE6E5F" w:rsidRPr="00DF13E6" w14:paraId="1596CCBE" w14:textId="77777777" w:rsidTr="000968EC">
        <w:trPr>
          <w:trHeight w:val="300"/>
        </w:trPr>
        <w:tc>
          <w:tcPr>
            <w:tcW w:w="1995" w:type="dxa"/>
            <w:tcBorders>
              <w:left w:val="single" w:sz="4" w:space="0" w:color="auto"/>
              <w:right w:val="single" w:sz="4" w:space="0" w:color="auto"/>
            </w:tcBorders>
            <w:shd w:val="clear" w:color="000000" w:fill="FFFFFF"/>
            <w:noWrap/>
            <w:vAlign w:val="center"/>
          </w:tcPr>
          <w:p w14:paraId="6012CD27" w14:textId="77777777" w:rsidR="00BE6E5F" w:rsidRPr="0054152A" w:rsidRDefault="00BE6E5F" w:rsidP="00B12E6D">
            <w:pPr>
              <w:pStyle w:val="Tabletext"/>
              <w:rPr>
                <w:i/>
              </w:rPr>
            </w:pPr>
            <w:r w:rsidRPr="0054152A">
              <w:rPr>
                <w:i/>
              </w:rPr>
              <w:t>Asterias spp.</w:t>
            </w:r>
          </w:p>
        </w:tc>
        <w:tc>
          <w:tcPr>
            <w:tcW w:w="1499" w:type="dxa"/>
            <w:tcBorders>
              <w:left w:val="single" w:sz="4" w:space="0" w:color="auto"/>
              <w:right w:val="single" w:sz="4" w:space="0" w:color="auto"/>
            </w:tcBorders>
            <w:shd w:val="clear" w:color="000000" w:fill="FFFFFF"/>
            <w:noWrap/>
          </w:tcPr>
          <w:p w14:paraId="4C552CE1" w14:textId="77777777" w:rsidR="00BE6E5F" w:rsidRDefault="00BE6E5F" w:rsidP="00B12E6D">
            <w:pPr>
              <w:pStyle w:val="Tabletext"/>
              <w:rPr>
                <w:rFonts w:ascii="Calibri" w:hAnsi="Calibri" w:cs="Calibri"/>
                <w:color w:val="000000"/>
                <w:lang w:eastAsia="en-GB"/>
              </w:rPr>
            </w:pPr>
            <w:r>
              <w:t>starfish</w:t>
            </w:r>
          </w:p>
        </w:tc>
        <w:tc>
          <w:tcPr>
            <w:tcW w:w="1260" w:type="dxa"/>
            <w:tcBorders>
              <w:left w:val="single" w:sz="4" w:space="0" w:color="auto"/>
              <w:right w:val="single" w:sz="4" w:space="0" w:color="auto"/>
            </w:tcBorders>
            <w:shd w:val="clear" w:color="auto" w:fill="auto"/>
            <w:noWrap/>
            <w:vAlign w:val="bottom"/>
          </w:tcPr>
          <w:p w14:paraId="7AA79A29" w14:textId="77777777" w:rsidR="00BE6E5F" w:rsidRPr="00DF13E6" w:rsidRDefault="00BE6E5F" w:rsidP="00B12E6D">
            <w:pPr>
              <w:pStyle w:val="Tabletext"/>
              <w:jc w:val="center"/>
            </w:pPr>
            <w:r>
              <w:t>D</w:t>
            </w:r>
          </w:p>
        </w:tc>
        <w:tc>
          <w:tcPr>
            <w:tcW w:w="720" w:type="dxa"/>
            <w:tcBorders>
              <w:left w:val="single" w:sz="4" w:space="0" w:color="auto"/>
              <w:right w:val="single" w:sz="4" w:space="0" w:color="auto"/>
            </w:tcBorders>
            <w:shd w:val="clear" w:color="auto" w:fill="auto"/>
            <w:noWrap/>
          </w:tcPr>
          <w:p w14:paraId="0AD222B7" w14:textId="77777777" w:rsidR="00BE6E5F" w:rsidRPr="00DF13E6" w:rsidRDefault="00BE6E5F" w:rsidP="00B12E6D">
            <w:pPr>
              <w:pStyle w:val="Tabletext"/>
            </w:pPr>
            <w:r w:rsidRPr="000727CD">
              <w:t>&lt;½ %</w:t>
            </w:r>
          </w:p>
        </w:tc>
        <w:tc>
          <w:tcPr>
            <w:tcW w:w="900" w:type="dxa"/>
            <w:tcBorders>
              <w:left w:val="single" w:sz="4" w:space="0" w:color="auto"/>
              <w:right w:val="single" w:sz="4" w:space="0" w:color="auto"/>
            </w:tcBorders>
            <w:shd w:val="clear" w:color="auto" w:fill="auto"/>
            <w:noWrap/>
          </w:tcPr>
          <w:p w14:paraId="3A8A77B6" w14:textId="77777777" w:rsidR="00BE6E5F" w:rsidRPr="00DF13E6" w:rsidRDefault="00BE6E5F" w:rsidP="00B12E6D">
            <w:pPr>
              <w:pStyle w:val="Tabletext"/>
              <w:jc w:val="center"/>
            </w:pPr>
            <w:r w:rsidRPr="00B3158A">
              <w:t>mi</w:t>
            </w:r>
          </w:p>
        </w:tc>
        <w:tc>
          <w:tcPr>
            <w:tcW w:w="1260" w:type="dxa"/>
            <w:tcBorders>
              <w:left w:val="single" w:sz="4" w:space="0" w:color="auto"/>
              <w:right w:val="single" w:sz="4" w:space="0" w:color="auto"/>
            </w:tcBorders>
            <w:shd w:val="clear" w:color="auto" w:fill="auto"/>
            <w:noWrap/>
            <w:vAlign w:val="bottom"/>
          </w:tcPr>
          <w:p w14:paraId="6D1F418E" w14:textId="77777777" w:rsidR="00BE6E5F" w:rsidRPr="00DF13E6" w:rsidRDefault="00BE6E5F" w:rsidP="00B12E6D">
            <w:pPr>
              <w:pStyle w:val="Tabletext"/>
              <w:jc w:val="center"/>
            </w:pPr>
            <w:r>
              <w:t>N</w:t>
            </w:r>
          </w:p>
        </w:tc>
        <w:tc>
          <w:tcPr>
            <w:tcW w:w="1800" w:type="dxa"/>
            <w:tcBorders>
              <w:left w:val="single" w:sz="4" w:space="0" w:color="auto"/>
              <w:right w:val="single" w:sz="4" w:space="0" w:color="auto"/>
            </w:tcBorders>
            <w:shd w:val="clear" w:color="auto" w:fill="auto"/>
            <w:noWrap/>
            <w:vAlign w:val="bottom"/>
          </w:tcPr>
          <w:p w14:paraId="6322C684" w14:textId="77777777" w:rsidR="00BE6E5F" w:rsidRPr="00DF13E6" w:rsidRDefault="00BE6E5F" w:rsidP="00B12E6D">
            <w:pPr>
              <w:pStyle w:val="Tabletext"/>
            </w:pPr>
          </w:p>
        </w:tc>
        <w:tc>
          <w:tcPr>
            <w:tcW w:w="1170" w:type="dxa"/>
            <w:tcBorders>
              <w:left w:val="single" w:sz="4" w:space="0" w:color="auto"/>
              <w:right w:val="single" w:sz="4" w:space="0" w:color="auto"/>
            </w:tcBorders>
            <w:shd w:val="clear" w:color="auto" w:fill="EAF1DD" w:themeFill="accent3" w:themeFillTint="33"/>
            <w:noWrap/>
          </w:tcPr>
          <w:p w14:paraId="48269F61" w14:textId="77777777" w:rsidR="00BE6E5F" w:rsidRPr="00DF13E6" w:rsidRDefault="00BE6E5F" w:rsidP="00B12E6D">
            <w:pPr>
              <w:pStyle w:val="Tabletext"/>
              <w:jc w:val="center"/>
            </w:pPr>
            <w:proofErr w:type="spellStart"/>
            <w:r w:rsidRPr="009C3D62">
              <w:t>S</w:t>
            </w:r>
            <w:r w:rsidRPr="009C3D62">
              <w:rPr>
                <w:vertAlign w:val="subscript"/>
              </w:rPr>
              <w:t>m</w:t>
            </w:r>
            <w:r>
              <w:rPr>
                <w:vertAlign w:val="subscript"/>
              </w:rPr>
              <w:t>i</w:t>
            </w:r>
            <w:proofErr w:type="spellEnd"/>
          </w:p>
        </w:tc>
        <w:tc>
          <w:tcPr>
            <w:tcW w:w="1064" w:type="dxa"/>
            <w:tcBorders>
              <w:left w:val="single" w:sz="4" w:space="0" w:color="auto"/>
              <w:right w:val="single" w:sz="4" w:space="0" w:color="auto"/>
            </w:tcBorders>
            <w:shd w:val="clear" w:color="auto" w:fill="auto"/>
            <w:noWrap/>
            <w:vAlign w:val="bottom"/>
          </w:tcPr>
          <w:p w14:paraId="0CBD1586" w14:textId="77777777" w:rsidR="00BE6E5F" w:rsidRPr="00DF13E6" w:rsidRDefault="00BE6E5F" w:rsidP="00B12E6D">
            <w:pPr>
              <w:pStyle w:val="Tabletext"/>
              <w:jc w:val="center"/>
            </w:pPr>
          </w:p>
        </w:tc>
        <w:tc>
          <w:tcPr>
            <w:tcW w:w="992" w:type="dxa"/>
            <w:tcBorders>
              <w:left w:val="single" w:sz="4" w:space="0" w:color="auto"/>
              <w:right w:val="single" w:sz="4" w:space="0" w:color="auto"/>
            </w:tcBorders>
            <w:shd w:val="clear" w:color="auto" w:fill="auto"/>
            <w:noWrap/>
          </w:tcPr>
          <w:p w14:paraId="4CEF5B85" w14:textId="77777777" w:rsidR="00BE6E5F" w:rsidRPr="00DF13E6" w:rsidRDefault="00BE6E5F" w:rsidP="00B12E6D">
            <w:pPr>
              <w:pStyle w:val="Tabletext"/>
            </w:pPr>
            <w:r w:rsidRPr="00FD4DB0">
              <w:t>RBF</w:t>
            </w:r>
          </w:p>
        </w:tc>
      </w:tr>
      <w:tr w:rsidR="00BE6E5F" w:rsidRPr="00DF13E6" w14:paraId="3C9A9921" w14:textId="77777777" w:rsidTr="000968EC">
        <w:trPr>
          <w:trHeight w:val="300"/>
        </w:trPr>
        <w:tc>
          <w:tcPr>
            <w:tcW w:w="1995" w:type="dxa"/>
            <w:tcBorders>
              <w:top w:val="nil"/>
              <w:left w:val="single" w:sz="4" w:space="0" w:color="auto"/>
              <w:right w:val="single" w:sz="4" w:space="0" w:color="auto"/>
            </w:tcBorders>
            <w:shd w:val="clear" w:color="000000" w:fill="FFFFFF"/>
            <w:noWrap/>
            <w:vAlign w:val="center"/>
          </w:tcPr>
          <w:p w14:paraId="44940B5B" w14:textId="77777777" w:rsidR="00BE6E5F" w:rsidRPr="0054152A" w:rsidRDefault="00BE6E5F" w:rsidP="00B12E6D">
            <w:pPr>
              <w:pStyle w:val="Tabletext"/>
              <w:rPr>
                <w:i/>
              </w:rPr>
            </w:pPr>
            <w:proofErr w:type="spellStart"/>
            <w:r w:rsidRPr="0054152A">
              <w:rPr>
                <w:i/>
              </w:rPr>
              <w:t>Carcinus</w:t>
            </w:r>
            <w:proofErr w:type="spellEnd"/>
            <w:r w:rsidRPr="0054152A">
              <w:rPr>
                <w:i/>
              </w:rPr>
              <w:t xml:space="preserve"> </w:t>
            </w:r>
            <w:proofErr w:type="spellStart"/>
            <w:r w:rsidRPr="0054152A">
              <w:rPr>
                <w:i/>
              </w:rPr>
              <w:t>maenas</w:t>
            </w:r>
            <w:proofErr w:type="spellEnd"/>
          </w:p>
        </w:tc>
        <w:tc>
          <w:tcPr>
            <w:tcW w:w="1499" w:type="dxa"/>
            <w:tcBorders>
              <w:top w:val="nil"/>
              <w:left w:val="single" w:sz="4" w:space="0" w:color="auto"/>
              <w:right w:val="single" w:sz="4" w:space="0" w:color="auto"/>
            </w:tcBorders>
            <w:shd w:val="clear" w:color="000000" w:fill="FFFFFF"/>
            <w:noWrap/>
            <w:vAlign w:val="bottom"/>
          </w:tcPr>
          <w:p w14:paraId="7E847B72" w14:textId="77777777" w:rsidR="00BE6E5F" w:rsidRPr="00DF13E6" w:rsidRDefault="00BE6E5F" w:rsidP="00B12E6D">
            <w:pPr>
              <w:pStyle w:val="Tabletext"/>
            </w:pPr>
            <w:r>
              <w:rPr>
                <w:rFonts w:ascii="Calibri" w:hAnsi="Calibri" w:cs="Calibri"/>
                <w:color w:val="000000"/>
                <w:lang w:eastAsia="en-GB"/>
              </w:rPr>
              <w:t>green crab</w:t>
            </w:r>
          </w:p>
        </w:tc>
        <w:tc>
          <w:tcPr>
            <w:tcW w:w="1260" w:type="dxa"/>
            <w:tcBorders>
              <w:top w:val="nil"/>
              <w:left w:val="single" w:sz="4" w:space="0" w:color="auto"/>
              <w:right w:val="single" w:sz="4" w:space="0" w:color="auto"/>
            </w:tcBorders>
            <w:shd w:val="clear" w:color="auto" w:fill="auto"/>
            <w:noWrap/>
            <w:vAlign w:val="bottom"/>
          </w:tcPr>
          <w:p w14:paraId="3B80B901" w14:textId="77777777" w:rsidR="00BE6E5F" w:rsidRPr="00DF13E6" w:rsidRDefault="00BE6E5F" w:rsidP="00B12E6D">
            <w:pPr>
              <w:pStyle w:val="Tabletext"/>
              <w:jc w:val="center"/>
            </w:pPr>
            <w:r>
              <w:t>D</w:t>
            </w:r>
          </w:p>
        </w:tc>
        <w:tc>
          <w:tcPr>
            <w:tcW w:w="720" w:type="dxa"/>
            <w:tcBorders>
              <w:top w:val="nil"/>
              <w:left w:val="single" w:sz="4" w:space="0" w:color="auto"/>
              <w:right w:val="single" w:sz="4" w:space="0" w:color="auto"/>
            </w:tcBorders>
            <w:shd w:val="clear" w:color="auto" w:fill="auto"/>
            <w:noWrap/>
          </w:tcPr>
          <w:p w14:paraId="5446271D" w14:textId="77777777" w:rsidR="00BE6E5F" w:rsidRPr="00DF13E6" w:rsidRDefault="00BE6E5F" w:rsidP="00B12E6D">
            <w:pPr>
              <w:pStyle w:val="Tabletext"/>
            </w:pPr>
            <w:r w:rsidRPr="000727CD">
              <w:t>&lt;½ %</w:t>
            </w:r>
          </w:p>
        </w:tc>
        <w:tc>
          <w:tcPr>
            <w:tcW w:w="900" w:type="dxa"/>
            <w:tcBorders>
              <w:top w:val="nil"/>
              <w:left w:val="single" w:sz="4" w:space="0" w:color="auto"/>
              <w:right w:val="single" w:sz="4" w:space="0" w:color="auto"/>
            </w:tcBorders>
            <w:shd w:val="clear" w:color="auto" w:fill="auto"/>
            <w:noWrap/>
          </w:tcPr>
          <w:p w14:paraId="225775E1" w14:textId="77777777" w:rsidR="00BE6E5F" w:rsidRPr="00DF13E6" w:rsidRDefault="00BE6E5F" w:rsidP="00B12E6D">
            <w:pPr>
              <w:pStyle w:val="Tabletext"/>
              <w:jc w:val="center"/>
            </w:pPr>
            <w:r w:rsidRPr="00B3158A">
              <w:t>mi</w:t>
            </w:r>
          </w:p>
        </w:tc>
        <w:tc>
          <w:tcPr>
            <w:tcW w:w="1260" w:type="dxa"/>
            <w:tcBorders>
              <w:top w:val="nil"/>
              <w:left w:val="single" w:sz="4" w:space="0" w:color="auto"/>
              <w:right w:val="single" w:sz="4" w:space="0" w:color="auto"/>
            </w:tcBorders>
            <w:shd w:val="clear" w:color="auto" w:fill="auto"/>
            <w:noWrap/>
            <w:vAlign w:val="bottom"/>
          </w:tcPr>
          <w:p w14:paraId="1051F343" w14:textId="77777777" w:rsidR="00BE6E5F" w:rsidRPr="00DF13E6" w:rsidRDefault="00BE6E5F" w:rsidP="00B12E6D">
            <w:pPr>
              <w:pStyle w:val="Tabletext"/>
              <w:jc w:val="center"/>
            </w:pPr>
            <w:r>
              <w:t>N</w:t>
            </w:r>
          </w:p>
        </w:tc>
        <w:tc>
          <w:tcPr>
            <w:tcW w:w="1800" w:type="dxa"/>
            <w:tcBorders>
              <w:top w:val="nil"/>
              <w:left w:val="single" w:sz="4" w:space="0" w:color="auto"/>
              <w:right w:val="single" w:sz="4" w:space="0" w:color="auto"/>
            </w:tcBorders>
            <w:shd w:val="clear" w:color="auto" w:fill="auto"/>
            <w:noWrap/>
            <w:vAlign w:val="bottom"/>
          </w:tcPr>
          <w:p w14:paraId="32EDFF7F" w14:textId="77777777" w:rsidR="00BE6E5F" w:rsidRPr="00DF13E6" w:rsidRDefault="00BE6E5F" w:rsidP="00B12E6D">
            <w:pPr>
              <w:pStyle w:val="Tabletext"/>
            </w:pPr>
          </w:p>
        </w:tc>
        <w:tc>
          <w:tcPr>
            <w:tcW w:w="1170" w:type="dxa"/>
            <w:tcBorders>
              <w:top w:val="nil"/>
              <w:left w:val="single" w:sz="4" w:space="0" w:color="auto"/>
              <w:right w:val="single" w:sz="4" w:space="0" w:color="auto"/>
            </w:tcBorders>
            <w:shd w:val="clear" w:color="auto" w:fill="EAF1DD" w:themeFill="accent3" w:themeFillTint="33"/>
            <w:noWrap/>
          </w:tcPr>
          <w:p w14:paraId="6F6F80C7" w14:textId="77777777" w:rsidR="00BE6E5F" w:rsidRPr="00DF13E6" w:rsidRDefault="00BE6E5F" w:rsidP="00B12E6D">
            <w:pPr>
              <w:pStyle w:val="Tabletext"/>
              <w:jc w:val="center"/>
            </w:pPr>
            <w:proofErr w:type="spellStart"/>
            <w:r w:rsidRPr="009C3D62">
              <w:t>S</w:t>
            </w:r>
            <w:r w:rsidRPr="009C3D62">
              <w:rPr>
                <w:vertAlign w:val="subscript"/>
              </w:rPr>
              <w:t>m</w:t>
            </w:r>
            <w:r>
              <w:rPr>
                <w:vertAlign w:val="subscript"/>
              </w:rPr>
              <w:t>i</w:t>
            </w:r>
            <w:proofErr w:type="spellEnd"/>
          </w:p>
        </w:tc>
        <w:tc>
          <w:tcPr>
            <w:tcW w:w="1064" w:type="dxa"/>
            <w:tcBorders>
              <w:top w:val="nil"/>
              <w:left w:val="single" w:sz="4" w:space="0" w:color="auto"/>
              <w:right w:val="single" w:sz="4" w:space="0" w:color="auto"/>
            </w:tcBorders>
            <w:shd w:val="clear" w:color="auto" w:fill="auto"/>
            <w:noWrap/>
            <w:vAlign w:val="bottom"/>
          </w:tcPr>
          <w:p w14:paraId="23AC43BD" w14:textId="77777777" w:rsidR="00BE6E5F" w:rsidRPr="00DF13E6" w:rsidRDefault="00BE6E5F" w:rsidP="00B12E6D">
            <w:pPr>
              <w:pStyle w:val="Tabletext"/>
              <w:jc w:val="center"/>
            </w:pPr>
          </w:p>
        </w:tc>
        <w:tc>
          <w:tcPr>
            <w:tcW w:w="992" w:type="dxa"/>
            <w:tcBorders>
              <w:top w:val="nil"/>
              <w:left w:val="single" w:sz="4" w:space="0" w:color="auto"/>
              <w:right w:val="single" w:sz="4" w:space="0" w:color="auto"/>
            </w:tcBorders>
            <w:shd w:val="clear" w:color="auto" w:fill="auto"/>
            <w:noWrap/>
          </w:tcPr>
          <w:p w14:paraId="22AF5D4A" w14:textId="77777777" w:rsidR="00BE6E5F" w:rsidRPr="00DF13E6" w:rsidRDefault="00BE6E5F" w:rsidP="00B12E6D">
            <w:pPr>
              <w:pStyle w:val="Tabletext"/>
            </w:pPr>
            <w:r w:rsidRPr="00FD4DB0">
              <w:t>RBF</w:t>
            </w:r>
          </w:p>
        </w:tc>
      </w:tr>
      <w:tr w:rsidR="00BE6E5F" w:rsidRPr="00DF13E6" w14:paraId="0871142F" w14:textId="77777777" w:rsidTr="000968EC">
        <w:trPr>
          <w:trHeight w:val="300"/>
        </w:trPr>
        <w:tc>
          <w:tcPr>
            <w:tcW w:w="1995" w:type="dxa"/>
            <w:tcBorders>
              <w:top w:val="nil"/>
              <w:left w:val="single" w:sz="4" w:space="0" w:color="auto"/>
              <w:right w:val="single" w:sz="4" w:space="0" w:color="auto"/>
            </w:tcBorders>
            <w:shd w:val="clear" w:color="000000" w:fill="FFFFFF"/>
            <w:noWrap/>
            <w:vAlign w:val="center"/>
          </w:tcPr>
          <w:p w14:paraId="11F15824" w14:textId="77777777" w:rsidR="00BE6E5F" w:rsidRPr="0054152A" w:rsidRDefault="00BE6E5F" w:rsidP="00B12E6D">
            <w:pPr>
              <w:pStyle w:val="Tabletext"/>
              <w:rPr>
                <w:i/>
              </w:rPr>
            </w:pPr>
            <w:r w:rsidRPr="0054152A">
              <w:rPr>
                <w:i/>
              </w:rPr>
              <w:t xml:space="preserve">Conger </w:t>
            </w:r>
            <w:proofErr w:type="spellStart"/>
            <w:r w:rsidRPr="0054152A">
              <w:rPr>
                <w:i/>
              </w:rPr>
              <w:t>conger</w:t>
            </w:r>
            <w:proofErr w:type="spellEnd"/>
          </w:p>
        </w:tc>
        <w:tc>
          <w:tcPr>
            <w:tcW w:w="1499" w:type="dxa"/>
            <w:tcBorders>
              <w:top w:val="nil"/>
              <w:left w:val="single" w:sz="4" w:space="0" w:color="auto"/>
              <w:right w:val="single" w:sz="4" w:space="0" w:color="auto"/>
            </w:tcBorders>
            <w:shd w:val="clear" w:color="000000" w:fill="FFFFFF"/>
            <w:noWrap/>
            <w:vAlign w:val="bottom"/>
          </w:tcPr>
          <w:p w14:paraId="72CF05B0" w14:textId="77777777" w:rsidR="00BE6E5F" w:rsidRPr="00DF13E6" w:rsidRDefault="00BE6E5F" w:rsidP="00B12E6D">
            <w:pPr>
              <w:pStyle w:val="Tabletext"/>
            </w:pPr>
            <w:r>
              <w:t>conger</w:t>
            </w:r>
          </w:p>
        </w:tc>
        <w:tc>
          <w:tcPr>
            <w:tcW w:w="1260" w:type="dxa"/>
            <w:tcBorders>
              <w:top w:val="nil"/>
              <w:left w:val="single" w:sz="4" w:space="0" w:color="auto"/>
              <w:right w:val="single" w:sz="4" w:space="0" w:color="auto"/>
            </w:tcBorders>
            <w:shd w:val="clear" w:color="auto" w:fill="auto"/>
            <w:noWrap/>
            <w:vAlign w:val="bottom"/>
          </w:tcPr>
          <w:p w14:paraId="0B1A1C03" w14:textId="77777777" w:rsidR="00BE6E5F" w:rsidRPr="00DF13E6" w:rsidRDefault="00BE6E5F" w:rsidP="00B12E6D">
            <w:pPr>
              <w:pStyle w:val="Tabletext"/>
              <w:jc w:val="center"/>
            </w:pPr>
            <w:r>
              <w:t>D</w:t>
            </w:r>
          </w:p>
        </w:tc>
        <w:tc>
          <w:tcPr>
            <w:tcW w:w="720" w:type="dxa"/>
            <w:tcBorders>
              <w:top w:val="nil"/>
              <w:left w:val="single" w:sz="4" w:space="0" w:color="auto"/>
              <w:right w:val="single" w:sz="4" w:space="0" w:color="auto"/>
            </w:tcBorders>
            <w:shd w:val="clear" w:color="auto" w:fill="auto"/>
            <w:noWrap/>
          </w:tcPr>
          <w:p w14:paraId="03B1684C" w14:textId="77777777" w:rsidR="00BE6E5F" w:rsidRPr="00DF13E6" w:rsidRDefault="00BE6E5F" w:rsidP="00B12E6D">
            <w:pPr>
              <w:pStyle w:val="Tabletext"/>
            </w:pPr>
            <w:r w:rsidRPr="000727CD">
              <w:t>&lt;½ %</w:t>
            </w:r>
          </w:p>
        </w:tc>
        <w:tc>
          <w:tcPr>
            <w:tcW w:w="900" w:type="dxa"/>
            <w:tcBorders>
              <w:top w:val="nil"/>
              <w:left w:val="single" w:sz="4" w:space="0" w:color="auto"/>
              <w:right w:val="single" w:sz="4" w:space="0" w:color="auto"/>
            </w:tcBorders>
            <w:shd w:val="clear" w:color="auto" w:fill="auto"/>
            <w:noWrap/>
          </w:tcPr>
          <w:p w14:paraId="47FAF0D8" w14:textId="77777777" w:rsidR="00BE6E5F" w:rsidRPr="00DF13E6" w:rsidRDefault="00BE6E5F" w:rsidP="00B12E6D">
            <w:pPr>
              <w:pStyle w:val="Tabletext"/>
              <w:jc w:val="center"/>
            </w:pPr>
            <w:r w:rsidRPr="00B3158A">
              <w:t>mi</w:t>
            </w:r>
          </w:p>
        </w:tc>
        <w:tc>
          <w:tcPr>
            <w:tcW w:w="1260" w:type="dxa"/>
            <w:tcBorders>
              <w:top w:val="nil"/>
              <w:left w:val="single" w:sz="4" w:space="0" w:color="auto"/>
              <w:right w:val="single" w:sz="4" w:space="0" w:color="auto"/>
            </w:tcBorders>
            <w:shd w:val="clear" w:color="auto" w:fill="auto"/>
            <w:noWrap/>
            <w:vAlign w:val="bottom"/>
          </w:tcPr>
          <w:p w14:paraId="00F66205" w14:textId="77777777" w:rsidR="00BE6E5F" w:rsidRPr="00DF13E6" w:rsidRDefault="00BE6E5F" w:rsidP="00B12E6D">
            <w:pPr>
              <w:pStyle w:val="Tabletext"/>
              <w:jc w:val="center"/>
            </w:pPr>
            <w:r>
              <w:t>N</w:t>
            </w:r>
          </w:p>
        </w:tc>
        <w:tc>
          <w:tcPr>
            <w:tcW w:w="1800" w:type="dxa"/>
            <w:tcBorders>
              <w:top w:val="nil"/>
              <w:left w:val="single" w:sz="4" w:space="0" w:color="auto"/>
              <w:right w:val="single" w:sz="4" w:space="0" w:color="auto"/>
            </w:tcBorders>
            <w:shd w:val="clear" w:color="auto" w:fill="auto"/>
            <w:noWrap/>
            <w:vAlign w:val="bottom"/>
          </w:tcPr>
          <w:p w14:paraId="071AFB3D" w14:textId="77777777" w:rsidR="00BE6E5F" w:rsidRPr="00DF13E6" w:rsidRDefault="00BE6E5F" w:rsidP="00B12E6D">
            <w:pPr>
              <w:pStyle w:val="Tabletext"/>
            </w:pPr>
          </w:p>
        </w:tc>
        <w:tc>
          <w:tcPr>
            <w:tcW w:w="1170" w:type="dxa"/>
            <w:tcBorders>
              <w:top w:val="nil"/>
              <w:left w:val="single" w:sz="4" w:space="0" w:color="auto"/>
              <w:right w:val="single" w:sz="4" w:space="0" w:color="auto"/>
            </w:tcBorders>
            <w:shd w:val="clear" w:color="auto" w:fill="EAF1DD" w:themeFill="accent3" w:themeFillTint="33"/>
            <w:noWrap/>
          </w:tcPr>
          <w:p w14:paraId="31250716" w14:textId="77777777" w:rsidR="00BE6E5F" w:rsidRPr="00DF13E6" w:rsidRDefault="00BE6E5F" w:rsidP="00B12E6D">
            <w:pPr>
              <w:pStyle w:val="Tabletext"/>
              <w:jc w:val="center"/>
            </w:pPr>
            <w:proofErr w:type="spellStart"/>
            <w:r w:rsidRPr="009C3D62">
              <w:t>S</w:t>
            </w:r>
            <w:r w:rsidRPr="009C3D62">
              <w:rPr>
                <w:vertAlign w:val="subscript"/>
              </w:rPr>
              <w:t>m</w:t>
            </w:r>
            <w:r>
              <w:rPr>
                <w:vertAlign w:val="subscript"/>
              </w:rPr>
              <w:t>i</w:t>
            </w:r>
            <w:proofErr w:type="spellEnd"/>
          </w:p>
        </w:tc>
        <w:tc>
          <w:tcPr>
            <w:tcW w:w="1064" w:type="dxa"/>
            <w:tcBorders>
              <w:top w:val="nil"/>
              <w:left w:val="single" w:sz="4" w:space="0" w:color="auto"/>
              <w:right w:val="single" w:sz="4" w:space="0" w:color="auto"/>
            </w:tcBorders>
            <w:shd w:val="clear" w:color="auto" w:fill="auto"/>
            <w:noWrap/>
            <w:vAlign w:val="bottom"/>
          </w:tcPr>
          <w:p w14:paraId="748DB79C" w14:textId="77777777" w:rsidR="00BE6E5F" w:rsidRPr="00DF13E6" w:rsidRDefault="00BE6E5F" w:rsidP="00B12E6D">
            <w:pPr>
              <w:pStyle w:val="Tabletext"/>
              <w:jc w:val="center"/>
            </w:pPr>
          </w:p>
        </w:tc>
        <w:tc>
          <w:tcPr>
            <w:tcW w:w="992" w:type="dxa"/>
            <w:tcBorders>
              <w:top w:val="nil"/>
              <w:left w:val="single" w:sz="4" w:space="0" w:color="auto"/>
              <w:right w:val="single" w:sz="4" w:space="0" w:color="auto"/>
            </w:tcBorders>
            <w:shd w:val="clear" w:color="auto" w:fill="auto"/>
            <w:noWrap/>
          </w:tcPr>
          <w:p w14:paraId="7BC9D158" w14:textId="77777777" w:rsidR="00BE6E5F" w:rsidRPr="00DF13E6" w:rsidRDefault="00BE6E5F" w:rsidP="00B12E6D">
            <w:pPr>
              <w:pStyle w:val="Tabletext"/>
            </w:pPr>
            <w:r w:rsidRPr="00FD4DB0">
              <w:t>RBF</w:t>
            </w:r>
          </w:p>
        </w:tc>
      </w:tr>
      <w:tr w:rsidR="0054152A" w:rsidRPr="00DF13E6" w14:paraId="63069839" w14:textId="77777777" w:rsidTr="000968EC">
        <w:trPr>
          <w:trHeight w:val="300"/>
        </w:trPr>
        <w:tc>
          <w:tcPr>
            <w:tcW w:w="1995" w:type="dxa"/>
            <w:tcBorders>
              <w:left w:val="single" w:sz="4" w:space="0" w:color="auto"/>
              <w:right w:val="single" w:sz="4" w:space="0" w:color="auto"/>
            </w:tcBorders>
            <w:shd w:val="clear" w:color="auto" w:fill="auto"/>
            <w:noWrap/>
            <w:vAlign w:val="center"/>
          </w:tcPr>
          <w:p w14:paraId="36F64C2F" w14:textId="73F98DCA" w:rsidR="0054152A" w:rsidRPr="0054152A" w:rsidRDefault="0054152A" w:rsidP="00B01C99">
            <w:pPr>
              <w:pStyle w:val="Tabletext"/>
              <w:rPr>
                <w:i/>
              </w:rPr>
            </w:pPr>
            <w:r w:rsidRPr="0054152A">
              <w:rPr>
                <w:rStyle w:val="st"/>
                <w:rFonts w:eastAsia="MS Gothic"/>
                <w:i/>
              </w:rPr>
              <w:t xml:space="preserve">Raja </w:t>
            </w:r>
            <w:proofErr w:type="spellStart"/>
            <w:r w:rsidRPr="0054152A">
              <w:rPr>
                <w:rStyle w:val="st"/>
                <w:rFonts w:eastAsia="MS Gothic"/>
                <w:i/>
              </w:rPr>
              <w:t>brackyura</w:t>
            </w:r>
            <w:proofErr w:type="spellEnd"/>
          </w:p>
        </w:tc>
        <w:tc>
          <w:tcPr>
            <w:tcW w:w="1499" w:type="dxa"/>
            <w:tcBorders>
              <w:left w:val="single" w:sz="4" w:space="0" w:color="auto"/>
              <w:right w:val="single" w:sz="4" w:space="0" w:color="auto"/>
            </w:tcBorders>
            <w:shd w:val="clear" w:color="auto" w:fill="auto"/>
            <w:noWrap/>
            <w:vAlign w:val="bottom"/>
          </w:tcPr>
          <w:p w14:paraId="21D58077" w14:textId="77777777" w:rsidR="0054152A" w:rsidRPr="00DF13E6" w:rsidRDefault="0054152A" w:rsidP="00B01C99">
            <w:pPr>
              <w:pStyle w:val="Tabletext"/>
            </w:pPr>
            <w:r w:rsidRPr="00DB012F">
              <w:rPr>
                <w:rFonts w:ascii="Calibri" w:hAnsi="Calibri" w:cs="Calibri"/>
                <w:color w:val="000000"/>
                <w:lang w:eastAsia="en-GB"/>
              </w:rPr>
              <w:t>blonde ray</w:t>
            </w:r>
          </w:p>
        </w:tc>
        <w:tc>
          <w:tcPr>
            <w:tcW w:w="1260" w:type="dxa"/>
            <w:tcBorders>
              <w:left w:val="single" w:sz="4" w:space="0" w:color="auto"/>
              <w:right w:val="single" w:sz="4" w:space="0" w:color="auto"/>
            </w:tcBorders>
            <w:shd w:val="clear" w:color="auto" w:fill="auto"/>
            <w:noWrap/>
            <w:vAlign w:val="bottom"/>
          </w:tcPr>
          <w:p w14:paraId="16AE2375" w14:textId="77777777" w:rsidR="0054152A" w:rsidRPr="00DF13E6" w:rsidRDefault="0054152A" w:rsidP="00DB4011">
            <w:pPr>
              <w:pStyle w:val="Tabletext"/>
              <w:jc w:val="center"/>
            </w:pPr>
            <w:r>
              <w:t>D</w:t>
            </w:r>
          </w:p>
        </w:tc>
        <w:tc>
          <w:tcPr>
            <w:tcW w:w="720" w:type="dxa"/>
            <w:tcBorders>
              <w:left w:val="single" w:sz="4" w:space="0" w:color="auto"/>
              <w:right w:val="single" w:sz="4" w:space="0" w:color="auto"/>
            </w:tcBorders>
            <w:shd w:val="clear" w:color="auto" w:fill="auto"/>
            <w:noWrap/>
            <w:vAlign w:val="bottom"/>
          </w:tcPr>
          <w:p w14:paraId="31930B42" w14:textId="77777777" w:rsidR="0054152A" w:rsidRPr="00DF13E6" w:rsidRDefault="0054152A" w:rsidP="00B01C99">
            <w:pPr>
              <w:pStyle w:val="Tabletext"/>
            </w:pPr>
            <w:r>
              <w:t>&lt;½ %</w:t>
            </w:r>
          </w:p>
        </w:tc>
        <w:tc>
          <w:tcPr>
            <w:tcW w:w="900" w:type="dxa"/>
            <w:tcBorders>
              <w:left w:val="single" w:sz="4" w:space="0" w:color="auto"/>
              <w:right w:val="single" w:sz="4" w:space="0" w:color="auto"/>
            </w:tcBorders>
            <w:shd w:val="clear" w:color="auto" w:fill="auto"/>
            <w:noWrap/>
            <w:vAlign w:val="bottom"/>
          </w:tcPr>
          <w:p w14:paraId="7123AEF4" w14:textId="77777777" w:rsidR="0054152A" w:rsidRPr="00DF13E6" w:rsidRDefault="0054152A" w:rsidP="00302410">
            <w:pPr>
              <w:pStyle w:val="Tabletext"/>
              <w:jc w:val="center"/>
            </w:pPr>
            <w:r>
              <w:t>mi</w:t>
            </w:r>
          </w:p>
        </w:tc>
        <w:tc>
          <w:tcPr>
            <w:tcW w:w="1260" w:type="dxa"/>
            <w:tcBorders>
              <w:left w:val="single" w:sz="4" w:space="0" w:color="auto"/>
              <w:right w:val="single" w:sz="4" w:space="0" w:color="auto"/>
            </w:tcBorders>
            <w:shd w:val="clear" w:color="auto" w:fill="auto"/>
            <w:noWrap/>
            <w:vAlign w:val="bottom"/>
          </w:tcPr>
          <w:p w14:paraId="00FBA787" w14:textId="77777777" w:rsidR="0054152A" w:rsidRPr="00DF13E6" w:rsidRDefault="0054152A" w:rsidP="00302410">
            <w:pPr>
              <w:pStyle w:val="Tabletext"/>
              <w:jc w:val="center"/>
            </w:pPr>
            <w:r>
              <w:t>Y</w:t>
            </w:r>
          </w:p>
        </w:tc>
        <w:tc>
          <w:tcPr>
            <w:tcW w:w="1800" w:type="dxa"/>
            <w:tcBorders>
              <w:left w:val="single" w:sz="4" w:space="0" w:color="auto"/>
              <w:right w:val="single" w:sz="4" w:space="0" w:color="auto"/>
            </w:tcBorders>
            <w:shd w:val="clear" w:color="auto" w:fill="auto"/>
            <w:noWrap/>
          </w:tcPr>
          <w:p w14:paraId="51569446" w14:textId="77777777" w:rsidR="0054152A" w:rsidRPr="00DF13E6" w:rsidRDefault="0054152A" w:rsidP="00B01C99">
            <w:pPr>
              <w:pStyle w:val="Tabletext"/>
            </w:pPr>
            <w:r w:rsidRPr="007A2FA1">
              <w:t>management limit</w:t>
            </w:r>
          </w:p>
        </w:tc>
        <w:tc>
          <w:tcPr>
            <w:tcW w:w="1170" w:type="dxa"/>
            <w:tcBorders>
              <w:left w:val="single" w:sz="4" w:space="0" w:color="auto"/>
              <w:right w:val="single" w:sz="4" w:space="0" w:color="auto"/>
            </w:tcBorders>
            <w:shd w:val="clear" w:color="auto" w:fill="EAF1DD" w:themeFill="accent3" w:themeFillTint="33"/>
            <w:noWrap/>
          </w:tcPr>
          <w:p w14:paraId="01831E0C" w14:textId="72459FE5" w:rsidR="0054152A" w:rsidRPr="00DF13E6" w:rsidRDefault="0054152A" w:rsidP="00302410">
            <w:pPr>
              <w:pStyle w:val="Tabletext"/>
              <w:jc w:val="center"/>
            </w:pPr>
            <w:proofErr w:type="spellStart"/>
            <w:r w:rsidRPr="009C3D62">
              <w:t>S</w:t>
            </w:r>
            <w:r w:rsidRPr="009C3D62">
              <w:rPr>
                <w:vertAlign w:val="subscript"/>
              </w:rPr>
              <w:t>m</w:t>
            </w:r>
            <w:r>
              <w:rPr>
                <w:vertAlign w:val="subscript"/>
              </w:rPr>
              <w:t>i</w:t>
            </w:r>
            <w:proofErr w:type="spellEnd"/>
          </w:p>
        </w:tc>
        <w:tc>
          <w:tcPr>
            <w:tcW w:w="1064" w:type="dxa"/>
            <w:tcBorders>
              <w:left w:val="single" w:sz="4" w:space="0" w:color="auto"/>
              <w:right w:val="single" w:sz="4" w:space="0" w:color="auto"/>
            </w:tcBorders>
            <w:shd w:val="clear" w:color="auto" w:fill="auto"/>
            <w:noWrap/>
            <w:vAlign w:val="bottom"/>
          </w:tcPr>
          <w:p w14:paraId="1E245E6B" w14:textId="77777777" w:rsidR="0054152A" w:rsidRPr="00DF13E6" w:rsidRDefault="0054152A" w:rsidP="00302410">
            <w:pPr>
              <w:pStyle w:val="Tabletext"/>
              <w:jc w:val="center"/>
            </w:pPr>
          </w:p>
        </w:tc>
        <w:tc>
          <w:tcPr>
            <w:tcW w:w="992" w:type="dxa"/>
            <w:tcBorders>
              <w:left w:val="single" w:sz="4" w:space="0" w:color="auto"/>
              <w:right w:val="single" w:sz="4" w:space="0" w:color="auto"/>
            </w:tcBorders>
            <w:shd w:val="clear" w:color="auto" w:fill="auto"/>
            <w:noWrap/>
            <w:vAlign w:val="bottom"/>
          </w:tcPr>
          <w:p w14:paraId="74470137" w14:textId="77777777" w:rsidR="0054152A" w:rsidRPr="00DF13E6" w:rsidRDefault="0054152A" w:rsidP="00B01C99">
            <w:pPr>
              <w:pStyle w:val="Tabletext"/>
            </w:pPr>
            <w:r>
              <w:t>RBF</w:t>
            </w:r>
          </w:p>
        </w:tc>
      </w:tr>
      <w:tr w:rsidR="0054152A" w:rsidRPr="00DF13E6" w14:paraId="06A4DED2" w14:textId="77777777" w:rsidTr="000968EC">
        <w:trPr>
          <w:trHeight w:val="300"/>
        </w:trPr>
        <w:tc>
          <w:tcPr>
            <w:tcW w:w="1995" w:type="dxa"/>
            <w:tcBorders>
              <w:top w:val="nil"/>
              <w:left w:val="single" w:sz="4" w:space="0" w:color="auto"/>
              <w:right w:val="single" w:sz="4" w:space="0" w:color="auto"/>
            </w:tcBorders>
            <w:shd w:val="clear" w:color="auto" w:fill="auto"/>
            <w:noWrap/>
            <w:vAlign w:val="center"/>
          </w:tcPr>
          <w:p w14:paraId="0F0AA0E5" w14:textId="3518F8B1" w:rsidR="0054152A" w:rsidRPr="0054152A" w:rsidRDefault="0054152A" w:rsidP="00B01C99">
            <w:pPr>
              <w:pStyle w:val="Tabletext"/>
              <w:rPr>
                <w:i/>
              </w:rPr>
            </w:pPr>
            <w:r w:rsidRPr="0054152A">
              <w:rPr>
                <w:rStyle w:val="st"/>
                <w:rFonts w:eastAsia="MS Gothic"/>
                <w:i/>
              </w:rPr>
              <w:t xml:space="preserve">Raja </w:t>
            </w:r>
            <w:proofErr w:type="spellStart"/>
            <w:r w:rsidRPr="0054152A">
              <w:rPr>
                <w:rStyle w:val="st"/>
                <w:rFonts w:eastAsia="MS Gothic"/>
                <w:i/>
              </w:rPr>
              <w:t>microocellata</w:t>
            </w:r>
            <w:proofErr w:type="spellEnd"/>
          </w:p>
        </w:tc>
        <w:tc>
          <w:tcPr>
            <w:tcW w:w="1499" w:type="dxa"/>
            <w:tcBorders>
              <w:top w:val="nil"/>
              <w:left w:val="single" w:sz="4" w:space="0" w:color="auto"/>
              <w:right w:val="single" w:sz="4" w:space="0" w:color="auto"/>
            </w:tcBorders>
            <w:shd w:val="clear" w:color="auto" w:fill="auto"/>
            <w:noWrap/>
            <w:vAlign w:val="bottom"/>
          </w:tcPr>
          <w:p w14:paraId="25CB3108" w14:textId="77777777" w:rsidR="0054152A" w:rsidRPr="00DF13E6" w:rsidRDefault="0054152A" w:rsidP="00B01C99">
            <w:pPr>
              <w:pStyle w:val="Tabletext"/>
            </w:pPr>
            <w:r w:rsidRPr="00DB012F">
              <w:rPr>
                <w:rFonts w:ascii="Calibri" w:hAnsi="Calibri" w:cs="Calibri"/>
                <w:color w:val="000000"/>
                <w:lang w:eastAsia="en-GB"/>
              </w:rPr>
              <w:t>small-eyed ray</w:t>
            </w:r>
          </w:p>
        </w:tc>
        <w:tc>
          <w:tcPr>
            <w:tcW w:w="1260" w:type="dxa"/>
            <w:tcBorders>
              <w:top w:val="nil"/>
              <w:left w:val="single" w:sz="4" w:space="0" w:color="auto"/>
              <w:right w:val="single" w:sz="4" w:space="0" w:color="auto"/>
            </w:tcBorders>
            <w:shd w:val="clear" w:color="auto" w:fill="auto"/>
            <w:noWrap/>
            <w:vAlign w:val="bottom"/>
          </w:tcPr>
          <w:p w14:paraId="7F24D073" w14:textId="77777777" w:rsidR="0054152A" w:rsidRPr="00DF13E6" w:rsidRDefault="0054152A" w:rsidP="00DB4011">
            <w:pPr>
              <w:pStyle w:val="Tabletext"/>
              <w:jc w:val="center"/>
            </w:pPr>
            <w:r>
              <w:t>D</w:t>
            </w:r>
          </w:p>
        </w:tc>
        <w:tc>
          <w:tcPr>
            <w:tcW w:w="720" w:type="dxa"/>
            <w:tcBorders>
              <w:top w:val="nil"/>
              <w:left w:val="single" w:sz="4" w:space="0" w:color="auto"/>
              <w:right w:val="single" w:sz="4" w:space="0" w:color="auto"/>
            </w:tcBorders>
            <w:shd w:val="clear" w:color="auto" w:fill="auto"/>
            <w:noWrap/>
          </w:tcPr>
          <w:p w14:paraId="425DD618" w14:textId="77777777" w:rsidR="0054152A" w:rsidRPr="00DF13E6" w:rsidRDefault="0054152A" w:rsidP="00B01C99">
            <w:pPr>
              <w:pStyle w:val="Tabletext"/>
            </w:pPr>
            <w:r w:rsidRPr="000727CD">
              <w:t>&lt;½ %</w:t>
            </w:r>
          </w:p>
        </w:tc>
        <w:tc>
          <w:tcPr>
            <w:tcW w:w="900" w:type="dxa"/>
            <w:tcBorders>
              <w:top w:val="nil"/>
              <w:left w:val="single" w:sz="4" w:space="0" w:color="auto"/>
              <w:right w:val="single" w:sz="4" w:space="0" w:color="auto"/>
            </w:tcBorders>
            <w:shd w:val="clear" w:color="auto" w:fill="auto"/>
            <w:noWrap/>
          </w:tcPr>
          <w:p w14:paraId="24EB3C66" w14:textId="77777777" w:rsidR="0054152A" w:rsidRPr="00DF13E6" w:rsidRDefault="0054152A" w:rsidP="00302410">
            <w:pPr>
              <w:pStyle w:val="Tabletext"/>
              <w:jc w:val="center"/>
            </w:pPr>
            <w:r w:rsidRPr="00B3158A">
              <w:t>mi</w:t>
            </w:r>
          </w:p>
        </w:tc>
        <w:tc>
          <w:tcPr>
            <w:tcW w:w="1260" w:type="dxa"/>
            <w:tcBorders>
              <w:top w:val="nil"/>
              <w:left w:val="single" w:sz="4" w:space="0" w:color="auto"/>
              <w:right w:val="single" w:sz="4" w:space="0" w:color="auto"/>
            </w:tcBorders>
            <w:shd w:val="clear" w:color="auto" w:fill="auto"/>
            <w:noWrap/>
            <w:vAlign w:val="bottom"/>
          </w:tcPr>
          <w:p w14:paraId="6F78DB2F" w14:textId="77777777" w:rsidR="0054152A" w:rsidRPr="00DF13E6" w:rsidRDefault="0054152A" w:rsidP="00302410">
            <w:pPr>
              <w:pStyle w:val="Tabletext"/>
              <w:jc w:val="center"/>
            </w:pPr>
            <w:r>
              <w:t>Y</w:t>
            </w:r>
          </w:p>
        </w:tc>
        <w:tc>
          <w:tcPr>
            <w:tcW w:w="1800" w:type="dxa"/>
            <w:tcBorders>
              <w:top w:val="nil"/>
              <w:left w:val="single" w:sz="4" w:space="0" w:color="auto"/>
              <w:right w:val="single" w:sz="4" w:space="0" w:color="auto"/>
            </w:tcBorders>
            <w:shd w:val="clear" w:color="auto" w:fill="auto"/>
            <w:noWrap/>
          </w:tcPr>
          <w:p w14:paraId="0A7D9AE1" w14:textId="77777777" w:rsidR="0054152A" w:rsidRPr="00DF13E6" w:rsidRDefault="0054152A" w:rsidP="00B01C99">
            <w:pPr>
              <w:pStyle w:val="Tabletext"/>
            </w:pPr>
            <w:r w:rsidRPr="007A2FA1">
              <w:t>management limit</w:t>
            </w:r>
          </w:p>
        </w:tc>
        <w:tc>
          <w:tcPr>
            <w:tcW w:w="1170" w:type="dxa"/>
            <w:tcBorders>
              <w:top w:val="nil"/>
              <w:left w:val="single" w:sz="4" w:space="0" w:color="auto"/>
              <w:right w:val="single" w:sz="4" w:space="0" w:color="auto"/>
            </w:tcBorders>
            <w:shd w:val="clear" w:color="auto" w:fill="EAF1DD" w:themeFill="accent3" w:themeFillTint="33"/>
            <w:noWrap/>
          </w:tcPr>
          <w:p w14:paraId="0FAB6682" w14:textId="74141211" w:rsidR="0054152A" w:rsidRPr="00DF13E6" w:rsidRDefault="0054152A" w:rsidP="00302410">
            <w:pPr>
              <w:pStyle w:val="Tabletext"/>
              <w:jc w:val="center"/>
            </w:pPr>
            <w:proofErr w:type="spellStart"/>
            <w:r w:rsidRPr="009C3D62">
              <w:t>S</w:t>
            </w:r>
            <w:r w:rsidRPr="009C3D62">
              <w:rPr>
                <w:vertAlign w:val="subscript"/>
              </w:rPr>
              <w:t>m</w:t>
            </w:r>
            <w:r>
              <w:rPr>
                <w:vertAlign w:val="subscript"/>
              </w:rPr>
              <w:t>i</w:t>
            </w:r>
            <w:proofErr w:type="spellEnd"/>
          </w:p>
        </w:tc>
        <w:tc>
          <w:tcPr>
            <w:tcW w:w="1064" w:type="dxa"/>
            <w:tcBorders>
              <w:top w:val="nil"/>
              <w:left w:val="single" w:sz="4" w:space="0" w:color="auto"/>
              <w:right w:val="single" w:sz="4" w:space="0" w:color="auto"/>
            </w:tcBorders>
            <w:shd w:val="clear" w:color="auto" w:fill="auto"/>
            <w:noWrap/>
            <w:vAlign w:val="bottom"/>
          </w:tcPr>
          <w:p w14:paraId="3D88489E" w14:textId="77777777" w:rsidR="0054152A" w:rsidRPr="00DF13E6" w:rsidRDefault="0054152A" w:rsidP="00302410">
            <w:pPr>
              <w:pStyle w:val="Tabletext"/>
              <w:jc w:val="center"/>
            </w:pPr>
          </w:p>
        </w:tc>
        <w:tc>
          <w:tcPr>
            <w:tcW w:w="992" w:type="dxa"/>
            <w:tcBorders>
              <w:top w:val="nil"/>
              <w:left w:val="single" w:sz="4" w:space="0" w:color="auto"/>
              <w:right w:val="single" w:sz="4" w:space="0" w:color="auto"/>
            </w:tcBorders>
            <w:shd w:val="clear" w:color="auto" w:fill="auto"/>
            <w:noWrap/>
          </w:tcPr>
          <w:p w14:paraId="3056A280" w14:textId="77777777" w:rsidR="0054152A" w:rsidRPr="00DF13E6" w:rsidRDefault="0054152A" w:rsidP="00B01C99">
            <w:pPr>
              <w:pStyle w:val="Tabletext"/>
            </w:pPr>
            <w:r w:rsidRPr="00FD4DB0">
              <w:t>RBF</w:t>
            </w:r>
          </w:p>
        </w:tc>
      </w:tr>
      <w:tr w:rsidR="00BE6E5F" w:rsidRPr="00DF13E6" w14:paraId="07C2712D" w14:textId="77777777" w:rsidTr="000968EC">
        <w:trPr>
          <w:trHeight w:val="300"/>
        </w:trPr>
        <w:tc>
          <w:tcPr>
            <w:tcW w:w="1995" w:type="dxa"/>
            <w:tcBorders>
              <w:left w:val="single" w:sz="4" w:space="0" w:color="auto"/>
              <w:right w:val="single" w:sz="4" w:space="0" w:color="auto"/>
            </w:tcBorders>
            <w:shd w:val="clear" w:color="auto" w:fill="auto"/>
            <w:noWrap/>
            <w:vAlign w:val="center"/>
          </w:tcPr>
          <w:p w14:paraId="645749AC" w14:textId="77777777" w:rsidR="00BE6E5F" w:rsidRPr="0054152A" w:rsidRDefault="00BE6E5F" w:rsidP="00B12E6D">
            <w:pPr>
              <w:pStyle w:val="Tabletext"/>
              <w:rPr>
                <w:i/>
              </w:rPr>
            </w:pPr>
            <w:r w:rsidRPr="0054152A">
              <w:rPr>
                <w:rStyle w:val="st"/>
                <w:rFonts w:eastAsia="MS Gothic"/>
                <w:i/>
              </w:rPr>
              <w:t xml:space="preserve">Raja </w:t>
            </w:r>
            <w:proofErr w:type="spellStart"/>
            <w:r w:rsidRPr="0054152A">
              <w:rPr>
                <w:rStyle w:val="st"/>
                <w:rFonts w:eastAsia="MS Gothic"/>
                <w:i/>
              </w:rPr>
              <w:t>clavata</w:t>
            </w:r>
            <w:proofErr w:type="spellEnd"/>
          </w:p>
        </w:tc>
        <w:tc>
          <w:tcPr>
            <w:tcW w:w="1499" w:type="dxa"/>
            <w:tcBorders>
              <w:left w:val="single" w:sz="4" w:space="0" w:color="auto"/>
              <w:right w:val="single" w:sz="4" w:space="0" w:color="auto"/>
            </w:tcBorders>
            <w:shd w:val="clear" w:color="auto" w:fill="auto"/>
            <w:noWrap/>
            <w:vAlign w:val="bottom"/>
          </w:tcPr>
          <w:p w14:paraId="03B24878" w14:textId="77777777" w:rsidR="00BE6E5F" w:rsidRPr="00DF13E6" w:rsidRDefault="00BE6E5F" w:rsidP="00B12E6D">
            <w:pPr>
              <w:pStyle w:val="Tabletext"/>
            </w:pPr>
            <w:r w:rsidRPr="00DB012F">
              <w:rPr>
                <w:rFonts w:ascii="Calibri" w:hAnsi="Calibri" w:cs="Calibri"/>
                <w:color w:val="000000"/>
                <w:lang w:eastAsia="en-GB"/>
              </w:rPr>
              <w:t>thornback ray</w:t>
            </w:r>
          </w:p>
        </w:tc>
        <w:tc>
          <w:tcPr>
            <w:tcW w:w="1260" w:type="dxa"/>
            <w:tcBorders>
              <w:left w:val="single" w:sz="4" w:space="0" w:color="auto"/>
              <w:right w:val="single" w:sz="4" w:space="0" w:color="auto"/>
            </w:tcBorders>
            <w:shd w:val="clear" w:color="auto" w:fill="auto"/>
            <w:noWrap/>
            <w:vAlign w:val="bottom"/>
          </w:tcPr>
          <w:p w14:paraId="6992D62B" w14:textId="77777777" w:rsidR="00BE6E5F" w:rsidRPr="00DF13E6" w:rsidRDefault="00BE6E5F" w:rsidP="00B12E6D">
            <w:pPr>
              <w:pStyle w:val="Tabletext"/>
              <w:jc w:val="center"/>
            </w:pPr>
            <w:r>
              <w:t>D</w:t>
            </w:r>
          </w:p>
        </w:tc>
        <w:tc>
          <w:tcPr>
            <w:tcW w:w="720" w:type="dxa"/>
            <w:tcBorders>
              <w:left w:val="single" w:sz="4" w:space="0" w:color="auto"/>
              <w:right w:val="single" w:sz="4" w:space="0" w:color="auto"/>
            </w:tcBorders>
            <w:shd w:val="clear" w:color="auto" w:fill="auto"/>
            <w:noWrap/>
          </w:tcPr>
          <w:p w14:paraId="412F20C3" w14:textId="77777777" w:rsidR="00BE6E5F" w:rsidRPr="00DF13E6" w:rsidRDefault="00BE6E5F" w:rsidP="00B12E6D">
            <w:pPr>
              <w:pStyle w:val="Tabletext"/>
            </w:pPr>
            <w:r w:rsidRPr="000727CD">
              <w:t>&lt;½ %</w:t>
            </w:r>
          </w:p>
        </w:tc>
        <w:tc>
          <w:tcPr>
            <w:tcW w:w="900" w:type="dxa"/>
            <w:tcBorders>
              <w:left w:val="single" w:sz="4" w:space="0" w:color="auto"/>
              <w:right w:val="single" w:sz="4" w:space="0" w:color="auto"/>
            </w:tcBorders>
            <w:shd w:val="clear" w:color="auto" w:fill="auto"/>
            <w:noWrap/>
          </w:tcPr>
          <w:p w14:paraId="4808BD52" w14:textId="77777777" w:rsidR="00BE6E5F" w:rsidRPr="00DF13E6" w:rsidRDefault="00BE6E5F" w:rsidP="00B12E6D">
            <w:pPr>
              <w:pStyle w:val="Tabletext"/>
              <w:jc w:val="center"/>
            </w:pPr>
            <w:r w:rsidRPr="00B3158A">
              <w:t>mi</w:t>
            </w:r>
          </w:p>
        </w:tc>
        <w:tc>
          <w:tcPr>
            <w:tcW w:w="1260" w:type="dxa"/>
            <w:tcBorders>
              <w:left w:val="single" w:sz="4" w:space="0" w:color="auto"/>
              <w:right w:val="single" w:sz="4" w:space="0" w:color="auto"/>
            </w:tcBorders>
            <w:shd w:val="clear" w:color="auto" w:fill="auto"/>
            <w:noWrap/>
            <w:vAlign w:val="bottom"/>
          </w:tcPr>
          <w:p w14:paraId="1253BC86" w14:textId="77777777" w:rsidR="00BE6E5F" w:rsidRPr="00DF13E6" w:rsidRDefault="00BE6E5F" w:rsidP="00B12E6D">
            <w:pPr>
              <w:pStyle w:val="Tabletext"/>
              <w:jc w:val="center"/>
            </w:pPr>
            <w:r>
              <w:t>Y</w:t>
            </w:r>
          </w:p>
        </w:tc>
        <w:tc>
          <w:tcPr>
            <w:tcW w:w="1800" w:type="dxa"/>
            <w:tcBorders>
              <w:left w:val="single" w:sz="4" w:space="0" w:color="auto"/>
              <w:right w:val="single" w:sz="4" w:space="0" w:color="auto"/>
            </w:tcBorders>
            <w:shd w:val="clear" w:color="auto" w:fill="auto"/>
            <w:noWrap/>
          </w:tcPr>
          <w:p w14:paraId="317409F7" w14:textId="77777777" w:rsidR="00BE6E5F" w:rsidRPr="00DF13E6" w:rsidRDefault="00BE6E5F" w:rsidP="00B12E6D">
            <w:pPr>
              <w:pStyle w:val="Tabletext"/>
            </w:pPr>
            <w:r w:rsidRPr="007A2FA1">
              <w:t>management limit</w:t>
            </w:r>
          </w:p>
        </w:tc>
        <w:tc>
          <w:tcPr>
            <w:tcW w:w="1170" w:type="dxa"/>
            <w:tcBorders>
              <w:left w:val="single" w:sz="4" w:space="0" w:color="auto"/>
              <w:right w:val="single" w:sz="4" w:space="0" w:color="auto"/>
            </w:tcBorders>
            <w:shd w:val="clear" w:color="auto" w:fill="EAF1DD" w:themeFill="accent3" w:themeFillTint="33"/>
            <w:noWrap/>
          </w:tcPr>
          <w:p w14:paraId="4BAF25CB" w14:textId="124AE01F" w:rsidR="00BE6E5F" w:rsidRPr="00DF13E6" w:rsidRDefault="00BA633B" w:rsidP="00BA633B">
            <w:pPr>
              <w:pStyle w:val="Tabletext"/>
              <w:jc w:val="center"/>
            </w:pPr>
            <w:proofErr w:type="spellStart"/>
            <w:r>
              <w:t>S</w:t>
            </w:r>
            <w:r>
              <w:rPr>
                <w:vertAlign w:val="subscript"/>
              </w:rPr>
              <w:t>mi</w:t>
            </w:r>
            <w:proofErr w:type="spellEnd"/>
          </w:p>
        </w:tc>
        <w:tc>
          <w:tcPr>
            <w:tcW w:w="1064" w:type="dxa"/>
            <w:tcBorders>
              <w:left w:val="single" w:sz="4" w:space="0" w:color="auto"/>
              <w:right w:val="single" w:sz="4" w:space="0" w:color="auto"/>
            </w:tcBorders>
            <w:shd w:val="clear" w:color="auto" w:fill="auto"/>
            <w:noWrap/>
            <w:vAlign w:val="bottom"/>
          </w:tcPr>
          <w:p w14:paraId="1949A727" w14:textId="77777777" w:rsidR="00BE6E5F" w:rsidRPr="00DF13E6" w:rsidRDefault="00BE6E5F" w:rsidP="00B12E6D">
            <w:pPr>
              <w:pStyle w:val="Tabletext"/>
              <w:jc w:val="center"/>
            </w:pPr>
          </w:p>
        </w:tc>
        <w:tc>
          <w:tcPr>
            <w:tcW w:w="992" w:type="dxa"/>
            <w:tcBorders>
              <w:left w:val="single" w:sz="4" w:space="0" w:color="auto"/>
              <w:right w:val="single" w:sz="4" w:space="0" w:color="auto"/>
            </w:tcBorders>
            <w:shd w:val="clear" w:color="auto" w:fill="auto"/>
            <w:noWrap/>
          </w:tcPr>
          <w:p w14:paraId="399E44CE" w14:textId="77777777" w:rsidR="00BE6E5F" w:rsidRPr="00DF13E6" w:rsidRDefault="00BE6E5F" w:rsidP="00B12E6D">
            <w:pPr>
              <w:pStyle w:val="Tabletext"/>
            </w:pPr>
            <w:r w:rsidRPr="00FD4DB0">
              <w:t>RBF</w:t>
            </w:r>
          </w:p>
        </w:tc>
      </w:tr>
      <w:tr w:rsidR="00BE6E5F" w:rsidRPr="00DF13E6" w14:paraId="2447CF38" w14:textId="77777777" w:rsidTr="000968EC">
        <w:trPr>
          <w:trHeight w:val="300"/>
        </w:trPr>
        <w:tc>
          <w:tcPr>
            <w:tcW w:w="1995" w:type="dxa"/>
            <w:tcBorders>
              <w:top w:val="nil"/>
              <w:left w:val="single" w:sz="4" w:space="0" w:color="auto"/>
              <w:bottom w:val="single" w:sz="4" w:space="0" w:color="auto"/>
              <w:right w:val="single" w:sz="4" w:space="0" w:color="auto"/>
            </w:tcBorders>
            <w:shd w:val="clear" w:color="auto" w:fill="auto"/>
            <w:noWrap/>
            <w:vAlign w:val="center"/>
          </w:tcPr>
          <w:p w14:paraId="0FF6306F" w14:textId="77777777" w:rsidR="00BE6E5F" w:rsidRPr="0054152A" w:rsidRDefault="00BE6E5F" w:rsidP="00B12E6D">
            <w:pPr>
              <w:pStyle w:val="Tabletext"/>
              <w:rPr>
                <w:i/>
              </w:rPr>
            </w:pPr>
            <w:proofErr w:type="spellStart"/>
            <w:r w:rsidRPr="0054152A">
              <w:rPr>
                <w:i/>
              </w:rPr>
              <w:t>Mustelus</w:t>
            </w:r>
            <w:proofErr w:type="spellEnd"/>
            <w:r w:rsidRPr="0054152A">
              <w:rPr>
                <w:i/>
              </w:rPr>
              <w:t xml:space="preserve"> </w:t>
            </w:r>
            <w:proofErr w:type="spellStart"/>
            <w:r>
              <w:rPr>
                <w:i/>
              </w:rPr>
              <w:t>mustelus</w:t>
            </w:r>
            <w:proofErr w:type="spellEnd"/>
          </w:p>
        </w:tc>
        <w:tc>
          <w:tcPr>
            <w:tcW w:w="1499" w:type="dxa"/>
            <w:tcBorders>
              <w:top w:val="nil"/>
              <w:left w:val="single" w:sz="4" w:space="0" w:color="auto"/>
              <w:bottom w:val="single" w:sz="4" w:space="0" w:color="auto"/>
              <w:right w:val="single" w:sz="4" w:space="0" w:color="auto"/>
            </w:tcBorders>
            <w:shd w:val="clear" w:color="auto" w:fill="auto"/>
            <w:noWrap/>
            <w:vAlign w:val="bottom"/>
          </w:tcPr>
          <w:p w14:paraId="72ACBB4F" w14:textId="77777777" w:rsidR="00BE6E5F" w:rsidRPr="00DF13E6" w:rsidRDefault="00BE6E5F" w:rsidP="00B12E6D">
            <w:pPr>
              <w:pStyle w:val="Tabletext"/>
            </w:pPr>
            <w:proofErr w:type="spellStart"/>
            <w:r w:rsidRPr="00DB012F">
              <w:rPr>
                <w:rFonts w:ascii="Calibri" w:hAnsi="Calibri" w:cs="Calibri"/>
                <w:color w:val="000000"/>
                <w:lang w:eastAsia="en-GB"/>
              </w:rPr>
              <w:t>smoothhound</w:t>
            </w:r>
            <w:proofErr w:type="spellEnd"/>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679AAD3F" w14:textId="77777777" w:rsidR="00BE6E5F" w:rsidRPr="00DF13E6" w:rsidRDefault="00BE6E5F" w:rsidP="00B12E6D">
            <w:pPr>
              <w:pStyle w:val="Tabletext"/>
              <w:jc w:val="center"/>
            </w:pPr>
            <w:r>
              <w:t>D</w:t>
            </w:r>
          </w:p>
        </w:tc>
        <w:tc>
          <w:tcPr>
            <w:tcW w:w="720" w:type="dxa"/>
            <w:tcBorders>
              <w:top w:val="nil"/>
              <w:left w:val="single" w:sz="4" w:space="0" w:color="auto"/>
              <w:bottom w:val="single" w:sz="4" w:space="0" w:color="auto"/>
              <w:right w:val="single" w:sz="4" w:space="0" w:color="auto"/>
            </w:tcBorders>
            <w:shd w:val="clear" w:color="auto" w:fill="auto"/>
            <w:noWrap/>
          </w:tcPr>
          <w:p w14:paraId="33F54B24" w14:textId="77777777" w:rsidR="00BE6E5F" w:rsidRPr="00DF13E6" w:rsidRDefault="00BE6E5F" w:rsidP="00B12E6D">
            <w:pPr>
              <w:pStyle w:val="Tabletext"/>
            </w:pPr>
            <w:r w:rsidRPr="000727CD">
              <w:t>&lt;½ %</w:t>
            </w:r>
          </w:p>
        </w:tc>
        <w:tc>
          <w:tcPr>
            <w:tcW w:w="900" w:type="dxa"/>
            <w:tcBorders>
              <w:top w:val="nil"/>
              <w:left w:val="single" w:sz="4" w:space="0" w:color="auto"/>
              <w:bottom w:val="single" w:sz="4" w:space="0" w:color="auto"/>
              <w:right w:val="single" w:sz="4" w:space="0" w:color="auto"/>
            </w:tcBorders>
            <w:shd w:val="clear" w:color="auto" w:fill="auto"/>
            <w:noWrap/>
          </w:tcPr>
          <w:p w14:paraId="64506437" w14:textId="77777777" w:rsidR="00BE6E5F" w:rsidRPr="00DF13E6" w:rsidRDefault="00BE6E5F" w:rsidP="00B12E6D">
            <w:pPr>
              <w:pStyle w:val="Tabletext"/>
              <w:jc w:val="center"/>
            </w:pPr>
            <w:r w:rsidRPr="00B3158A">
              <w:t>mi</w:t>
            </w:r>
          </w:p>
        </w:tc>
        <w:tc>
          <w:tcPr>
            <w:tcW w:w="1260" w:type="dxa"/>
            <w:tcBorders>
              <w:top w:val="nil"/>
              <w:left w:val="single" w:sz="4" w:space="0" w:color="auto"/>
              <w:bottom w:val="single" w:sz="4" w:space="0" w:color="auto"/>
              <w:right w:val="single" w:sz="4" w:space="0" w:color="auto"/>
            </w:tcBorders>
            <w:shd w:val="clear" w:color="auto" w:fill="auto"/>
            <w:noWrap/>
            <w:vAlign w:val="bottom"/>
          </w:tcPr>
          <w:p w14:paraId="7B217E66" w14:textId="77777777" w:rsidR="00BE6E5F" w:rsidRPr="00DF13E6" w:rsidRDefault="00BE6E5F" w:rsidP="00B12E6D">
            <w:pPr>
              <w:pStyle w:val="Tabletext"/>
              <w:jc w:val="center"/>
            </w:pPr>
            <w:r>
              <w:t>N</w:t>
            </w:r>
          </w:p>
        </w:tc>
        <w:tc>
          <w:tcPr>
            <w:tcW w:w="1800" w:type="dxa"/>
            <w:tcBorders>
              <w:top w:val="nil"/>
              <w:left w:val="single" w:sz="4" w:space="0" w:color="auto"/>
              <w:bottom w:val="single" w:sz="4" w:space="0" w:color="auto"/>
              <w:right w:val="single" w:sz="4" w:space="0" w:color="auto"/>
            </w:tcBorders>
            <w:shd w:val="clear" w:color="auto" w:fill="auto"/>
            <w:noWrap/>
            <w:vAlign w:val="bottom"/>
          </w:tcPr>
          <w:p w14:paraId="4EFB08E3" w14:textId="77777777" w:rsidR="00BE6E5F" w:rsidRPr="00DF13E6" w:rsidRDefault="00BE6E5F" w:rsidP="00B12E6D">
            <w:pPr>
              <w:pStyle w:val="Tabletext"/>
            </w:pPr>
          </w:p>
        </w:tc>
        <w:tc>
          <w:tcPr>
            <w:tcW w:w="1170" w:type="dxa"/>
            <w:tcBorders>
              <w:top w:val="nil"/>
              <w:left w:val="single" w:sz="4" w:space="0" w:color="auto"/>
              <w:bottom w:val="single" w:sz="4" w:space="0" w:color="auto"/>
              <w:right w:val="single" w:sz="4" w:space="0" w:color="auto"/>
            </w:tcBorders>
            <w:shd w:val="clear" w:color="auto" w:fill="EAF1DD" w:themeFill="accent3" w:themeFillTint="33"/>
            <w:noWrap/>
          </w:tcPr>
          <w:p w14:paraId="0F90D3A5" w14:textId="67A31180" w:rsidR="00BE6E5F" w:rsidRPr="00DF13E6" w:rsidRDefault="00BA633B" w:rsidP="00BA633B">
            <w:pPr>
              <w:pStyle w:val="Tabletext"/>
              <w:jc w:val="center"/>
            </w:pPr>
            <w:proofErr w:type="spellStart"/>
            <w:r>
              <w:t>S</w:t>
            </w:r>
            <w:r>
              <w:rPr>
                <w:vertAlign w:val="subscript"/>
              </w:rPr>
              <w:t>mi</w:t>
            </w:r>
            <w:proofErr w:type="spellEnd"/>
          </w:p>
        </w:tc>
        <w:tc>
          <w:tcPr>
            <w:tcW w:w="1064" w:type="dxa"/>
            <w:tcBorders>
              <w:top w:val="nil"/>
              <w:left w:val="single" w:sz="4" w:space="0" w:color="auto"/>
              <w:bottom w:val="single" w:sz="4" w:space="0" w:color="auto"/>
              <w:right w:val="single" w:sz="4" w:space="0" w:color="auto"/>
            </w:tcBorders>
            <w:shd w:val="clear" w:color="auto" w:fill="auto"/>
            <w:noWrap/>
            <w:vAlign w:val="bottom"/>
          </w:tcPr>
          <w:p w14:paraId="421418FD" w14:textId="77777777" w:rsidR="00BE6E5F" w:rsidRPr="00DF13E6" w:rsidRDefault="00BE6E5F" w:rsidP="00B12E6D">
            <w:pPr>
              <w:pStyle w:val="Tabletext"/>
              <w:jc w:val="center"/>
            </w:pPr>
          </w:p>
        </w:tc>
        <w:tc>
          <w:tcPr>
            <w:tcW w:w="992" w:type="dxa"/>
            <w:tcBorders>
              <w:top w:val="nil"/>
              <w:left w:val="single" w:sz="4" w:space="0" w:color="auto"/>
              <w:bottom w:val="single" w:sz="4" w:space="0" w:color="auto"/>
              <w:right w:val="single" w:sz="4" w:space="0" w:color="auto"/>
            </w:tcBorders>
            <w:shd w:val="clear" w:color="auto" w:fill="auto"/>
            <w:noWrap/>
          </w:tcPr>
          <w:p w14:paraId="180F76A8" w14:textId="77777777" w:rsidR="00BE6E5F" w:rsidRPr="00DF13E6" w:rsidRDefault="00BE6E5F" w:rsidP="00B12E6D">
            <w:pPr>
              <w:pStyle w:val="Tabletext"/>
            </w:pPr>
            <w:r w:rsidRPr="00FD4DB0">
              <w:t>RBF</w:t>
            </w:r>
          </w:p>
        </w:tc>
      </w:tr>
    </w:tbl>
    <w:p w14:paraId="288BA08B" w14:textId="77777777" w:rsidR="00DF13E6" w:rsidRDefault="00DF13E6" w:rsidP="00DF13E6"/>
    <w:p w14:paraId="4882022E" w14:textId="77777777" w:rsidR="00DF13E6" w:rsidRDefault="00DF13E6" w:rsidP="00DF13E6">
      <w:pPr>
        <w:sectPr w:rsidR="00DF13E6" w:rsidSect="00DF13E6">
          <w:pgSz w:w="16838" w:h="11906" w:orient="landscape"/>
          <w:pgMar w:top="1440" w:right="1440" w:bottom="1440" w:left="1440" w:header="708" w:footer="708" w:gutter="0"/>
          <w:cols w:space="708"/>
          <w:docGrid w:linePitch="360"/>
        </w:sectPr>
      </w:pPr>
    </w:p>
    <w:p w14:paraId="65F037DD" w14:textId="26977464" w:rsidR="00A123D1" w:rsidRPr="005C0C94" w:rsidRDefault="00A123D1" w:rsidP="00346B89">
      <w:pPr>
        <w:pStyle w:val="Heading1"/>
        <w:keepLines w:val="0"/>
        <w:numPr>
          <w:ilvl w:val="0"/>
          <w:numId w:val="3"/>
        </w:numPr>
        <w:autoSpaceDE w:val="0"/>
        <w:autoSpaceDN w:val="0"/>
        <w:adjustRightInd w:val="0"/>
        <w:rPr>
          <w:lang w:eastAsia="en-GB"/>
        </w:rPr>
      </w:pPr>
      <w:bookmarkStart w:id="38" w:name="_Toc292723263"/>
      <w:bookmarkStart w:id="39" w:name="_Toc372551823"/>
      <w:bookmarkStart w:id="40" w:name="_Toc469259576"/>
      <w:bookmarkEnd w:id="35"/>
      <w:bookmarkEnd w:id="36"/>
      <w:r w:rsidRPr="005C0C94">
        <w:rPr>
          <w:rFonts w:eastAsia="Calibri"/>
        </w:rPr>
        <w:lastRenderedPageBreak/>
        <w:t>Evaluation Procedure</w:t>
      </w:r>
      <w:bookmarkEnd w:id="38"/>
      <w:bookmarkEnd w:id="39"/>
      <w:bookmarkEnd w:id="40"/>
    </w:p>
    <w:p w14:paraId="4B9C0DF3" w14:textId="77777777" w:rsidR="00A123D1" w:rsidRPr="005C0C94" w:rsidRDefault="00A123D1" w:rsidP="00030620">
      <w:pPr>
        <w:pStyle w:val="Heading2"/>
      </w:pPr>
      <w:bookmarkStart w:id="41" w:name="_Toc292723266"/>
      <w:bookmarkStart w:id="42" w:name="_Toc372551824"/>
      <w:bookmarkStart w:id="43" w:name="_Toc469259577"/>
      <w:r w:rsidRPr="005C0C94">
        <w:t>Assessment methodologies used</w:t>
      </w:r>
      <w:bookmarkEnd w:id="41"/>
      <w:bookmarkEnd w:id="42"/>
      <w:bookmarkEnd w:id="43"/>
    </w:p>
    <w:p w14:paraId="077F5981" w14:textId="4B4A90E8" w:rsidR="00810B2A" w:rsidRDefault="00044B5F" w:rsidP="00A123D1">
      <w:r>
        <w:t xml:space="preserve">The MSC </w:t>
      </w:r>
      <w:r w:rsidR="00810B2A">
        <w:t>Fisheries</w:t>
      </w:r>
      <w:r>
        <w:t xml:space="preserve"> </w:t>
      </w:r>
      <w:r w:rsidR="00810B2A">
        <w:t>Certification Requirements v 2.0 was</w:t>
      </w:r>
      <w:r>
        <w:t xml:space="preserve"> used to conduct the pre-assessment for this fishery</w:t>
      </w:r>
      <w:r w:rsidR="00810B2A">
        <w:t>.</w:t>
      </w:r>
      <w:r w:rsidR="00E45137">
        <w:t xml:space="preserve"> Although the </w:t>
      </w:r>
      <w:r w:rsidR="00810B2A" w:rsidRPr="005C0C94">
        <w:t>MSC Pr</w:t>
      </w:r>
      <w:r w:rsidR="00810B2A">
        <w:t xml:space="preserve">e-Assessment Reporting Template v 2.0 was used </w:t>
      </w:r>
      <w:r w:rsidR="00E45137">
        <w:t xml:space="preserve">as the basis </w:t>
      </w:r>
      <w:r w:rsidR="00810B2A">
        <w:t>to create this report</w:t>
      </w:r>
      <w:r w:rsidR="00E45137">
        <w:t xml:space="preserve">, some sections which were not normative requirements have been omitted, in particular in relation to the description </w:t>
      </w:r>
      <w:r w:rsidR="006816A8">
        <w:t>of</w:t>
      </w:r>
      <w:r w:rsidR="00E45137">
        <w:t xml:space="preserve"> the fishery</w:t>
      </w:r>
      <w:r w:rsidR="00810B2A">
        <w:t>.</w:t>
      </w:r>
    </w:p>
    <w:p w14:paraId="55ADD181" w14:textId="72839BD6" w:rsidR="00A123D1" w:rsidRDefault="00A123D1" w:rsidP="00030620">
      <w:pPr>
        <w:pStyle w:val="Heading2"/>
      </w:pPr>
      <w:bookmarkStart w:id="44" w:name="_Toc292723267"/>
      <w:bookmarkStart w:id="45" w:name="_Toc372551825"/>
      <w:bookmarkStart w:id="46" w:name="_Toc469259578"/>
      <w:r w:rsidRPr="005C0C94">
        <w:t xml:space="preserve">Summary of </w:t>
      </w:r>
      <w:r w:rsidR="00E04F6B">
        <w:t>consultations</w:t>
      </w:r>
      <w:r w:rsidRPr="005C0C94">
        <w:t xml:space="preserve"> during pre-assessment</w:t>
      </w:r>
      <w:bookmarkEnd w:id="44"/>
      <w:bookmarkEnd w:id="45"/>
      <w:bookmarkEnd w:id="46"/>
    </w:p>
    <w:p w14:paraId="74AB6355" w14:textId="575ECFFD" w:rsidR="00DB4011" w:rsidRDefault="00E04F6B" w:rsidP="00810B2A">
      <w:r w:rsidRPr="00E04F6B">
        <w:t>This pre-assessment has been</w:t>
      </w:r>
      <w:r>
        <w:t xml:space="preserve"> undertaken by </w:t>
      </w:r>
      <w:r w:rsidR="00DB4011">
        <w:t>Crick Carleton during the first half of December 2016</w:t>
      </w:r>
      <w:r>
        <w:t xml:space="preserve">. </w:t>
      </w:r>
      <w:r w:rsidR="00DB4011">
        <w:t>Investigation comprised review of published material, desk research and analysis, and phone contact with representatives of fishery management organisations, fishery scientists and the fishing industry.</w:t>
      </w:r>
    </w:p>
    <w:p w14:paraId="6A1DB992" w14:textId="77777777" w:rsidR="006816A8" w:rsidRPr="006816A8" w:rsidRDefault="006816A8" w:rsidP="006816A8">
      <w:pPr>
        <w:pStyle w:val="Heading2"/>
      </w:pPr>
      <w:bookmarkStart w:id="47" w:name="_Toc292723272"/>
      <w:bookmarkStart w:id="48" w:name="_Toc372551831"/>
      <w:bookmarkStart w:id="49" w:name="_Toc469259579"/>
      <w:r w:rsidRPr="006816A8">
        <w:t>Applicability of the default assessment tree</w:t>
      </w:r>
      <w:bookmarkEnd w:id="47"/>
      <w:bookmarkEnd w:id="48"/>
      <w:bookmarkEnd w:id="49"/>
    </w:p>
    <w:p w14:paraId="1165151F" w14:textId="77777777" w:rsidR="006816A8" w:rsidRPr="005C0C94" w:rsidRDefault="006816A8" w:rsidP="006816A8">
      <w:r>
        <w:t>The default assessment tree as provided in FCR v2 has been used to assess and score the fishery.  No revisions of the default assessment tree are required.</w:t>
      </w:r>
    </w:p>
    <w:p w14:paraId="4D879E57" w14:textId="46B33527" w:rsidR="006816A8" w:rsidRDefault="006816A8" w:rsidP="006816A8">
      <w:pPr>
        <w:pStyle w:val="Heading2"/>
      </w:pPr>
      <w:bookmarkStart w:id="50" w:name="_Toc469259580"/>
      <w:r>
        <w:t>Approach to Scoring</w:t>
      </w:r>
      <w:bookmarkEnd w:id="50"/>
    </w:p>
    <w:p w14:paraId="5F5DC31E" w14:textId="77777777" w:rsidR="006816A8" w:rsidRDefault="006816A8" w:rsidP="006816A8">
      <w:r w:rsidRPr="006816A8">
        <w:t>The MSC pre-assessment process involves a provisional evaluation against MSC Performance Indicators (PIs) and Scoring Guideposts (SGs), to inform how the fishery fares against the MSC standard and whether each PI is likely to fall within the following categories:</w:t>
      </w:r>
      <w:r>
        <w:t xml:space="preserve">  </w:t>
      </w:r>
    </w:p>
    <w:p w14:paraId="303519D4" w14:textId="4A261D97" w:rsidR="006816A8" w:rsidRPr="005C0C94" w:rsidRDefault="002D4E32" w:rsidP="006816A8">
      <w:pPr>
        <w:pStyle w:val="Caption"/>
        <w:rPr>
          <w:rFonts w:eastAsia="Calibri"/>
        </w:rPr>
      </w:pPr>
      <w:r>
        <w:rPr>
          <w:rFonts w:eastAsia="Calibri"/>
        </w:rPr>
        <w:t xml:space="preserve">Table 5: </w:t>
      </w:r>
      <w:r w:rsidR="006816A8" w:rsidRPr="005C0C94">
        <w:rPr>
          <w:rFonts w:eastAsia="Calibri"/>
        </w:rPr>
        <w:t xml:space="preserve">Key to likely scoring level in </w:t>
      </w:r>
      <w:r>
        <w:rPr>
          <w:rFonts w:eastAsia="Calibri"/>
        </w:rPr>
        <w:t>Table 6 &amp; Tables A1.1 – A1.3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0"/>
        <w:gridCol w:w="2562"/>
      </w:tblGrid>
      <w:tr w:rsidR="006816A8" w:rsidRPr="005C0C94" w14:paraId="6B0B76CD" w14:textId="77777777" w:rsidTr="006816A8">
        <w:tc>
          <w:tcPr>
            <w:tcW w:w="3614" w:type="pct"/>
            <w:shd w:val="clear" w:color="auto" w:fill="F2F2F2"/>
            <w:vAlign w:val="center"/>
          </w:tcPr>
          <w:p w14:paraId="002CA660" w14:textId="77777777" w:rsidR="006816A8" w:rsidRPr="005C0C94" w:rsidRDefault="006816A8" w:rsidP="006816A8">
            <w:pPr>
              <w:pStyle w:val="Tableheader"/>
              <w:jc w:val="center"/>
            </w:pPr>
            <w:r w:rsidRPr="005C0C94">
              <w:t>Definition of scoring ranges for PI outcome estimates</w:t>
            </w:r>
          </w:p>
        </w:tc>
        <w:tc>
          <w:tcPr>
            <w:tcW w:w="1386" w:type="pct"/>
            <w:tcBorders>
              <w:bottom w:val="single" w:sz="4" w:space="0" w:color="auto"/>
            </w:tcBorders>
            <w:shd w:val="clear" w:color="auto" w:fill="F2F2F2"/>
            <w:vAlign w:val="center"/>
          </w:tcPr>
          <w:p w14:paraId="4BF75883" w14:textId="77777777" w:rsidR="006816A8" w:rsidRPr="005C0C94" w:rsidRDefault="006816A8" w:rsidP="006816A8">
            <w:pPr>
              <w:pStyle w:val="Tableheader"/>
              <w:jc w:val="center"/>
            </w:pPr>
            <w:r w:rsidRPr="005C0C94">
              <w:t>Shading to be used</w:t>
            </w:r>
          </w:p>
        </w:tc>
      </w:tr>
      <w:tr w:rsidR="006816A8" w:rsidRPr="005C0C94" w14:paraId="26A73A15" w14:textId="77777777" w:rsidTr="006816A8">
        <w:tc>
          <w:tcPr>
            <w:tcW w:w="3614" w:type="pct"/>
          </w:tcPr>
          <w:p w14:paraId="31D97D33" w14:textId="77777777" w:rsidR="006816A8" w:rsidRPr="005C0C94" w:rsidRDefault="006816A8" w:rsidP="006816A8">
            <w:pPr>
              <w:pStyle w:val="Tabletext"/>
            </w:pPr>
            <w:r w:rsidRPr="005C0C94">
              <w:t>Information suggests fishery is not likely to meet the SG60 scoring issues.</w:t>
            </w:r>
          </w:p>
        </w:tc>
        <w:tc>
          <w:tcPr>
            <w:tcW w:w="1386" w:type="pct"/>
            <w:tcBorders>
              <w:bottom w:val="single" w:sz="4" w:space="0" w:color="auto"/>
            </w:tcBorders>
            <w:shd w:val="clear" w:color="auto" w:fill="D99594"/>
            <w:vAlign w:val="center"/>
          </w:tcPr>
          <w:p w14:paraId="7FA4E890" w14:textId="77777777" w:rsidR="006816A8" w:rsidRPr="005C0C94" w:rsidRDefault="006816A8" w:rsidP="006816A8">
            <w:pPr>
              <w:pStyle w:val="Tabletext"/>
              <w:jc w:val="center"/>
            </w:pPr>
            <w:r w:rsidRPr="005C0C94">
              <w:t>Fail</w:t>
            </w:r>
          </w:p>
          <w:p w14:paraId="747AD0C0" w14:textId="77777777" w:rsidR="006816A8" w:rsidRPr="005C0C94" w:rsidRDefault="006816A8" w:rsidP="006816A8">
            <w:pPr>
              <w:pStyle w:val="Tabletext"/>
              <w:jc w:val="center"/>
            </w:pPr>
            <w:r w:rsidRPr="005C0C94">
              <w:t>(&lt;60)</w:t>
            </w:r>
          </w:p>
        </w:tc>
      </w:tr>
      <w:tr w:rsidR="006816A8" w:rsidRPr="005C0C94" w14:paraId="7C9FC193" w14:textId="77777777" w:rsidTr="006816A8">
        <w:trPr>
          <w:trHeight w:val="604"/>
        </w:trPr>
        <w:tc>
          <w:tcPr>
            <w:tcW w:w="3614" w:type="pct"/>
          </w:tcPr>
          <w:p w14:paraId="786BF37E" w14:textId="77777777" w:rsidR="006816A8" w:rsidRPr="005C0C94" w:rsidRDefault="006816A8" w:rsidP="006816A8">
            <w:pPr>
              <w:pStyle w:val="Tabletext"/>
            </w:pPr>
            <w:r w:rsidRPr="005C0C94">
              <w:t>Information suggests fishery will reach SG60 but may not meet all of the scoring issues at SG80. A condition may therefore be needed.</w:t>
            </w:r>
          </w:p>
        </w:tc>
        <w:tc>
          <w:tcPr>
            <w:tcW w:w="1386" w:type="pct"/>
            <w:tcBorders>
              <w:bottom w:val="single" w:sz="4" w:space="0" w:color="auto"/>
            </w:tcBorders>
            <w:shd w:val="clear" w:color="auto" w:fill="FABF8F"/>
            <w:vAlign w:val="center"/>
          </w:tcPr>
          <w:p w14:paraId="60692DFF" w14:textId="77777777" w:rsidR="006816A8" w:rsidRPr="005C0C94" w:rsidRDefault="006816A8" w:rsidP="006816A8">
            <w:pPr>
              <w:pStyle w:val="Tabletext"/>
              <w:jc w:val="center"/>
            </w:pPr>
            <w:r w:rsidRPr="005C0C94">
              <w:t>Pass with Condition</w:t>
            </w:r>
          </w:p>
          <w:p w14:paraId="3E1667FA" w14:textId="77777777" w:rsidR="006816A8" w:rsidRPr="005C0C94" w:rsidRDefault="006816A8" w:rsidP="006816A8">
            <w:pPr>
              <w:pStyle w:val="Tabletext"/>
              <w:jc w:val="center"/>
            </w:pPr>
            <w:r w:rsidRPr="005C0C94">
              <w:t>(60-79)</w:t>
            </w:r>
          </w:p>
        </w:tc>
      </w:tr>
      <w:tr w:rsidR="006816A8" w:rsidRPr="005C0C94" w14:paraId="3EC662B6" w14:textId="77777777" w:rsidTr="006816A8">
        <w:trPr>
          <w:trHeight w:val="556"/>
        </w:trPr>
        <w:tc>
          <w:tcPr>
            <w:tcW w:w="3614" w:type="pct"/>
          </w:tcPr>
          <w:p w14:paraId="17D229DA" w14:textId="77777777" w:rsidR="006816A8" w:rsidRPr="005C0C94" w:rsidRDefault="006816A8" w:rsidP="006816A8">
            <w:pPr>
              <w:pStyle w:val="Tabletext"/>
            </w:pPr>
            <w:r w:rsidRPr="005C0C94">
              <w:t>Information suggests fishery is likely to exceed SG80 resulting in an unconditional pass for this PI. Fishery may meet one or more scoring issues at SG100 level.</w:t>
            </w:r>
          </w:p>
        </w:tc>
        <w:tc>
          <w:tcPr>
            <w:tcW w:w="1386" w:type="pct"/>
            <w:shd w:val="clear" w:color="auto" w:fill="D6E3BC"/>
            <w:vAlign w:val="center"/>
          </w:tcPr>
          <w:p w14:paraId="749C5700" w14:textId="77777777" w:rsidR="006816A8" w:rsidRPr="005C0C94" w:rsidRDefault="006816A8" w:rsidP="006816A8">
            <w:pPr>
              <w:pStyle w:val="Tabletext"/>
              <w:jc w:val="center"/>
            </w:pPr>
            <w:r w:rsidRPr="005C0C94">
              <w:t>Pass</w:t>
            </w:r>
          </w:p>
          <w:p w14:paraId="2CC28DCB" w14:textId="77777777" w:rsidR="006816A8" w:rsidRPr="005C0C94" w:rsidRDefault="006816A8" w:rsidP="006816A8">
            <w:pPr>
              <w:pStyle w:val="Tabletext"/>
              <w:jc w:val="center"/>
            </w:pPr>
            <w:r w:rsidRPr="005C0C94">
              <w:t>(≥80)</w:t>
            </w:r>
          </w:p>
        </w:tc>
      </w:tr>
    </w:tbl>
    <w:p w14:paraId="351BE3DF" w14:textId="77777777" w:rsidR="006816A8" w:rsidRPr="006816A8" w:rsidRDefault="006816A8" w:rsidP="006816A8">
      <w:pPr>
        <w:pStyle w:val="ListBullet"/>
      </w:pPr>
    </w:p>
    <w:p w14:paraId="10AB49A3" w14:textId="77777777" w:rsidR="00A123D1" w:rsidRPr="005C0C94" w:rsidRDefault="00A123D1" w:rsidP="00030620">
      <w:pPr>
        <w:pStyle w:val="Heading2"/>
      </w:pPr>
      <w:bookmarkStart w:id="51" w:name="_Toc292723268"/>
      <w:bookmarkStart w:id="52" w:name="_Toc372551826"/>
      <w:bookmarkStart w:id="53" w:name="_Toc469259581"/>
      <w:r w:rsidRPr="005C0C94">
        <w:t>Stakeholders to be consulted during a full assessment</w:t>
      </w:r>
      <w:bookmarkEnd w:id="51"/>
      <w:bookmarkEnd w:id="52"/>
      <w:bookmarkEnd w:id="53"/>
    </w:p>
    <w:p w14:paraId="7500D0DA" w14:textId="3975A3A7" w:rsidR="00316A48" w:rsidRDefault="00044B5F" w:rsidP="00316A48">
      <w:r>
        <w:t>The following key stakeholders should be consulted during full assessment:</w:t>
      </w:r>
    </w:p>
    <w:p w14:paraId="79BE2EC0" w14:textId="24B31BEB" w:rsidR="00EC5D32" w:rsidRPr="00BA633B" w:rsidRDefault="00810B2A" w:rsidP="00BA633B">
      <w:pPr>
        <w:pStyle w:val="ListBullet"/>
        <w:numPr>
          <w:ilvl w:val="0"/>
          <w:numId w:val="15"/>
        </w:numPr>
      </w:pPr>
      <w:r w:rsidRPr="00BA633B">
        <w:t>National Government</w:t>
      </w:r>
      <w:r w:rsidR="00DB4011" w:rsidRPr="00BA633B">
        <w:t xml:space="preserve"> – managers, scientists and control and enforcement services</w:t>
      </w:r>
    </w:p>
    <w:p w14:paraId="6B5E03DC" w14:textId="393568A9" w:rsidR="00DB4011" w:rsidRDefault="00DB4011" w:rsidP="00DB4011">
      <w:pPr>
        <w:pStyle w:val="ListBullet"/>
        <w:numPr>
          <w:ilvl w:val="0"/>
          <w:numId w:val="15"/>
        </w:numPr>
      </w:pPr>
      <w:r>
        <w:t>Local fishery managers (IFCAs)</w:t>
      </w:r>
    </w:p>
    <w:p w14:paraId="47C853BD" w14:textId="77777777" w:rsidR="00DB4011" w:rsidRDefault="00DB4011" w:rsidP="00DB4011">
      <w:pPr>
        <w:pStyle w:val="ListBullet"/>
        <w:numPr>
          <w:ilvl w:val="0"/>
          <w:numId w:val="15"/>
        </w:numPr>
      </w:pPr>
      <w:r>
        <w:t>Producer Organisations and Fishermen’s Organisations</w:t>
      </w:r>
    </w:p>
    <w:p w14:paraId="4407C8DA" w14:textId="77777777" w:rsidR="00DB4011" w:rsidRDefault="00DB4011" w:rsidP="00DB4011">
      <w:pPr>
        <w:pStyle w:val="ListBullet"/>
        <w:numPr>
          <w:ilvl w:val="0"/>
          <w:numId w:val="15"/>
        </w:numPr>
      </w:pPr>
      <w:r>
        <w:t>Vessel Owners and fishermen</w:t>
      </w:r>
    </w:p>
    <w:p w14:paraId="50FCE5DF" w14:textId="415D744B" w:rsidR="00DB4011" w:rsidRPr="00DB4011" w:rsidRDefault="00DB4011" w:rsidP="00DB4011">
      <w:pPr>
        <w:pStyle w:val="ListBullet"/>
        <w:numPr>
          <w:ilvl w:val="0"/>
          <w:numId w:val="15"/>
        </w:numPr>
      </w:pPr>
      <w:r>
        <w:t xml:space="preserve">Supply chain participants / representatives </w:t>
      </w:r>
    </w:p>
    <w:p w14:paraId="71141A5A" w14:textId="09ED901C" w:rsidR="00044B5F" w:rsidRDefault="00044B5F" w:rsidP="00DB4011">
      <w:r w:rsidRPr="00DB4011">
        <w:t>The stakeholders would be expected to engage in the RBF process for Principle 2 Secondary Species 2.2.1 Outcome Status.</w:t>
      </w:r>
    </w:p>
    <w:p w14:paraId="3B59418B" w14:textId="77777777" w:rsidR="00A123D1" w:rsidRPr="005C0C94" w:rsidRDefault="00A123D1" w:rsidP="00346B89">
      <w:pPr>
        <w:pStyle w:val="Heading1"/>
        <w:keepLines w:val="0"/>
        <w:numPr>
          <w:ilvl w:val="0"/>
          <w:numId w:val="3"/>
        </w:numPr>
        <w:autoSpaceDE w:val="0"/>
        <w:autoSpaceDN w:val="0"/>
        <w:adjustRightInd w:val="0"/>
        <w:rPr>
          <w:lang w:eastAsia="en-GB"/>
        </w:rPr>
      </w:pPr>
      <w:bookmarkStart w:id="54" w:name="_Toc292723269"/>
      <w:bookmarkStart w:id="55" w:name="_Toc372551828"/>
      <w:bookmarkStart w:id="56" w:name="_Toc469259582"/>
      <w:r w:rsidRPr="005C0C94">
        <w:rPr>
          <w:rFonts w:eastAsia="Calibri"/>
        </w:rPr>
        <w:lastRenderedPageBreak/>
        <w:t xml:space="preserve">Traceability (issues relevant to </w:t>
      </w:r>
      <w:r w:rsidR="00705B63" w:rsidRPr="005C0C94">
        <w:rPr>
          <w:rFonts w:eastAsia="Calibri"/>
        </w:rPr>
        <w:t>C</w:t>
      </w:r>
      <w:r w:rsidRPr="005C0C94">
        <w:rPr>
          <w:rFonts w:eastAsia="Calibri"/>
        </w:rPr>
        <w:t xml:space="preserve">hain of </w:t>
      </w:r>
      <w:r w:rsidR="00705B63" w:rsidRPr="005C0C94">
        <w:rPr>
          <w:rFonts w:eastAsia="Calibri"/>
        </w:rPr>
        <w:t>C</w:t>
      </w:r>
      <w:r w:rsidRPr="005C0C94">
        <w:rPr>
          <w:rFonts w:eastAsia="Calibri"/>
        </w:rPr>
        <w:t>ustody certification)</w:t>
      </w:r>
      <w:bookmarkEnd w:id="54"/>
      <w:bookmarkEnd w:id="55"/>
      <w:bookmarkEnd w:id="56"/>
    </w:p>
    <w:p w14:paraId="6A343F32" w14:textId="77777777" w:rsidR="00A123D1" w:rsidRPr="005C0C94" w:rsidRDefault="00A123D1" w:rsidP="00030620">
      <w:pPr>
        <w:pStyle w:val="Heading2"/>
      </w:pPr>
      <w:bookmarkStart w:id="57" w:name="_Toc292723270"/>
      <w:bookmarkStart w:id="58" w:name="_Toc372551829"/>
      <w:bookmarkStart w:id="59" w:name="_Toc469259583"/>
      <w:r w:rsidRPr="005C0C94">
        <w:t xml:space="preserve">Eligibility of fishery products to enter further </w:t>
      </w:r>
      <w:r w:rsidR="00705B63" w:rsidRPr="005C0C94">
        <w:t>C</w:t>
      </w:r>
      <w:r w:rsidRPr="005C0C94">
        <w:t xml:space="preserve">hains of </w:t>
      </w:r>
      <w:r w:rsidR="00705B63" w:rsidRPr="005C0C94">
        <w:t>C</w:t>
      </w:r>
      <w:r w:rsidRPr="005C0C94">
        <w:t>ustody</w:t>
      </w:r>
      <w:bookmarkEnd w:id="57"/>
      <w:bookmarkEnd w:id="58"/>
      <w:bookmarkEnd w:id="59"/>
    </w:p>
    <w:p w14:paraId="61B7C9D5" w14:textId="5BCE9663" w:rsidR="006D04EF" w:rsidRDefault="006D04EF" w:rsidP="00316A48">
      <w:r>
        <w:t xml:space="preserve">It is noted that there is a risk that other </w:t>
      </w:r>
      <w:r w:rsidR="00B676A7">
        <w:t>edible crab</w:t>
      </w:r>
      <w:r>
        <w:t xml:space="preserve"> landed into </w:t>
      </w:r>
      <w:r w:rsidR="00B676A7">
        <w:t xml:space="preserve">the South West of England </w:t>
      </w:r>
      <w:r>
        <w:t>by vessels</w:t>
      </w:r>
      <w:r w:rsidR="00B676A7">
        <w:t xml:space="preserve"> that are not in membership of the Unit of Certification </w:t>
      </w:r>
      <w:r>
        <w:t xml:space="preserve">could be sold as MSC certified </w:t>
      </w:r>
      <w:r w:rsidR="007141B0">
        <w:t>product</w:t>
      </w:r>
      <w:r w:rsidR="00B676A7">
        <w:t>, or landed to ports</w:t>
      </w:r>
      <w:r w:rsidR="007141B0">
        <w:t xml:space="preserve"> landed elsewhere by non-member vessels </w:t>
      </w:r>
      <w:r>
        <w:t>could carry the MSC logo. The subsequent Chain of Custody assessment would analyse these risks in detail.</w:t>
      </w:r>
    </w:p>
    <w:p w14:paraId="2E7B9F7E" w14:textId="4EADB0CE" w:rsidR="00A123D1" w:rsidRDefault="00BA7662" w:rsidP="00346B89">
      <w:pPr>
        <w:pStyle w:val="Heading1"/>
        <w:keepLines w:val="0"/>
        <w:numPr>
          <w:ilvl w:val="0"/>
          <w:numId w:val="3"/>
        </w:numPr>
        <w:autoSpaceDE w:val="0"/>
        <w:autoSpaceDN w:val="0"/>
        <w:adjustRightInd w:val="0"/>
        <w:rPr>
          <w:rFonts w:eastAsia="Calibri"/>
        </w:rPr>
      </w:pPr>
      <w:bookmarkStart w:id="60" w:name="_Toc292723271"/>
      <w:bookmarkStart w:id="61" w:name="_Toc372551830"/>
      <w:bookmarkStart w:id="62" w:name="_Toc469259584"/>
      <w:r w:rsidRPr="005C0C94">
        <w:rPr>
          <w:rFonts w:eastAsia="Calibri"/>
        </w:rPr>
        <w:lastRenderedPageBreak/>
        <w:t>P</w:t>
      </w:r>
      <w:r w:rsidR="00A123D1" w:rsidRPr="005C0C94">
        <w:rPr>
          <w:rFonts w:eastAsia="Calibri"/>
        </w:rPr>
        <w:t>reliminary evaluation of the fishery</w:t>
      </w:r>
      <w:bookmarkEnd w:id="60"/>
      <w:bookmarkEnd w:id="61"/>
      <w:bookmarkEnd w:id="62"/>
    </w:p>
    <w:p w14:paraId="5A2D9ED1" w14:textId="77777777" w:rsidR="006B4F3C" w:rsidRDefault="003038BE" w:rsidP="006B4F3C">
      <w:r w:rsidRPr="00C82047">
        <w:t xml:space="preserve">The pre-assessment evaluation of the fishery is provided within </w:t>
      </w:r>
      <w:r w:rsidRPr="00C82047">
        <w:rPr>
          <w:b/>
        </w:rPr>
        <w:fldChar w:fldCharType="begin"/>
      </w:r>
      <w:r w:rsidRPr="00C82047">
        <w:rPr>
          <w:b/>
        </w:rPr>
        <w:instrText xml:space="preserve"> REF _Ref326445274 \h </w:instrText>
      </w:r>
      <w:r w:rsidR="00C82047" w:rsidRPr="00C82047">
        <w:rPr>
          <w:b/>
        </w:rPr>
        <w:instrText xml:space="preserve"> \* MERGEFORMAT </w:instrText>
      </w:r>
      <w:r w:rsidRPr="00C82047">
        <w:rPr>
          <w:b/>
        </w:rPr>
      </w:r>
      <w:r w:rsidRPr="00C82047">
        <w:rPr>
          <w:b/>
        </w:rPr>
        <w:fldChar w:fldCharType="separate"/>
      </w:r>
      <w:r w:rsidR="006B4F3C" w:rsidRPr="006B4F3C">
        <w:rPr>
          <w:b/>
        </w:rPr>
        <w:t>Appendix 1</w:t>
      </w:r>
      <w:r w:rsidR="006B4F3C">
        <w:t xml:space="preserve"> – Pre-assessment Scoring Sheets</w:t>
      </w:r>
    </w:p>
    <w:p w14:paraId="41A27D63" w14:textId="030B93A6" w:rsidR="00316A48" w:rsidRDefault="006B4F3C" w:rsidP="00316A48">
      <w:pPr>
        <w:rPr>
          <w:rFonts w:eastAsia="Calibri" w:cs="Arial"/>
          <w:lang w:eastAsia="en-GB"/>
        </w:rPr>
      </w:pPr>
      <w:proofErr w:type="gramStart"/>
      <w:r w:rsidRPr="00BB556C">
        <w:t xml:space="preserve">Table </w:t>
      </w:r>
      <w:proofErr w:type="gramEnd"/>
      <w:r w:rsidR="003038BE" w:rsidRPr="00C82047">
        <w:rPr>
          <w:b/>
        </w:rPr>
        <w:fldChar w:fldCharType="end"/>
      </w:r>
      <w:r w:rsidR="003038BE" w:rsidRPr="00C82047">
        <w:t xml:space="preserve">.  </w:t>
      </w:r>
      <w:r w:rsidR="00483116" w:rsidRPr="00C82047">
        <w:rPr>
          <w:rFonts w:eastAsia="Calibri" w:cs="Arial"/>
          <w:lang w:eastAsia="en-GB"/>
        </w:rPr>
        <w:t>The fishery met level 60 for all Principle 2 and 3 PIs</w:t>
      </w:r>
      <w:r w:rsidR="00C82047" w:rsidRPr="00C82047">
        <w:rPr>
          <w:rFonts w:eastAsia="Calibri" w:cs="Arial"/>
          <w:lang w:eastAsia="en-GB"/>
        </w:rPr>
        <w:t xml:space="preserve">, but failed to reach </w:t>
      </w:r>
      <w:r w:rsidR="00C82047">
        <w:rPr>
          <w:rFonts w:eastAsia="Calibri" w:cs="Arial"/>
          <w:lang w:eastAsia="en-GB"/>
        </w:rPr>
        <w:t xml:space="preserve">level </w:t>
      </w:r>
      <w:r w:rsidR="00C82047" w:rsidRPr="00C82047">
        <w:rPr>
          <w:rFonts w:eastAsia="Calibri" w:cs="Arial"/>
          <w:lang w:eastAsia="en-GB"/>
        </w:rPr>
        <w:t>60 for two Principle 1 PIs, and as such the fishery would</w:t>
      </w:r>
      <w:r w:rsidR="00483116" w:rsidRPr="00C82047">
        <w:rPr>
          <w:rFonts w:eastAsia="Calibri" w:cs="Arial"/>
          <w:lang w:eastAsia="en-GB"/>
        </w:rPr>
        <w:t xml:space="preserve"> automatically fail the MSC assessment.</w:t>
      </w:r>
    </w:p>
    <w:p w14:paraId="5110FE3B" w14:textId="1FF79896" w:rsidR="002D4E32" w:rsidRPr="003038BE" w:rsidRDefault="002D4E32" w:rsidP="002D4E32">
      <w:pPr>
        <w:pStyle w:val="Caption"/>
      </w:pPr>
      <w:r>
        <w:rPr>
          <w:rFonts w:eastAsia="Calibri"/>
          <w:lang w:eastAsia="en-GB"/>
        </w:rPr>
        <w:t xml:space="preserve">Table 6: Summary of Likely Scoring Levels. </w:t>
      </w:r>
    </w:p>
    <w:tbl>
      <w:tblPr>
        <w:tblW w:w="8340" w:type="dxa"/>
        <w:tblInd w:w="93" w:type="dxa"/>
        <w:tblLook w:val="04A0" w:firstRow="1" w:lastRow="0" w:firstColumn="1" w:lastColumn="0" w:noHBand="0" w:noVBand="1"/>
      </w:tblPr>
      <w:tblGrid>
        <w:gridCol w:w="940"/>
        <w:gridCol w:w="1855"/>
        <w:gridCol w:w="622"/>
        <w:gridCol w:w="3438"/>
        <w:gridCol w:w="1485"/>
      </w:tblGrid>
      <w:tr w:rsidR="00B70F04" w:rsidRPr="00007C56" w14:paraId="08043F52" w14:textId="77777777" w:rsidTr="00D22DF6">
        <w:trPr>
          <w:trHeight w:val="560"/>
          <w:tblHeader/>
        </w:trPr>
        <w:tc>
          <w:tcPr>
            <w:tcW w:w="94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54E28E4B" w14:textId="77777777" w:rsidR="00B70F04" w:rsidRPr="00007C56" w:rsidRDefault="00B70F04" w:rsidP="00B70F04">
            <w:pPr>
              <w:pStyle w:val="Tableheader"/>
            </w:pPr>
            <w:r w:rsidRPr="00007C56">
              <w:t>Principle</w:t>
            </w:r>
          </w:p>
        </w:tc>
        <w:tc>
          <w:tcPr>
            <w:tcW w:w="1855"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1279B794" w14:textId="77777777" w:rsidR="00B70F04" w:rsidRPr="00007C56" w:rsidRDefault="00B70F04" w:rsidP="00B70F04">
            <w:pPr>
              <w:pStyle w:val="Tableheader"/>
            </w:pPr>
            <w:r w:rsidRPr="00007C56">
              <w:t>Component</w:t>
            </w:r>
          </w:p>
        </w:tc>
        <w:tc>
          <w:tcPr>
            <w:tcW w:w="622"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6284648E" w14:textId="77777777" w:rsidR="00B70F04" w:rsidRPr="00007C56" w:rsidRDefault="00B70F04" w:rsidP="00B70F04">
            <w:pPr>
              <w:pStyle w:val="Tableheader"/>
            </w:pPr>
            <w:r w:rsidRPr="00007C56">
              <w:t xml:space="preserve">PI </w:t>
            </w:r>
          </w:p>
        </w:tc>
        <w:tc>
          <w:tcPr>
            <w:tcW w:w="3438"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0C1299D8" w14:textId="77777777" w:rsidR="00B70F04" w:rsidRPr="00007C56" w:rsidRDefault="00B70F04" w:rsidP="00B70F04">
            <w:pPr>
              <w:pStyle w:val="Tableheader"/>
            </w:pPr>
            <w:r w:rsidRPr="00007C56">
              <w:t>Performance Indicator</w:t>
            </w:r>
          </w:p>
        </w:tc>
        <w:tc>
          <w:tcPr>
            <w:tcW w:w="1485"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40A4A96B" w14:textId="77777777" w:rsidR="00B70F04" w:rsidRPr="00007C56" w:rsidRDefault="00B70F04" w:rsidP="00D22DF6">
            <w:pPr>
              <w:pStyle w:val="Tableheader"/>
              <w:jc w:val="center"/>
            </w:pPr>
            <w:r w:rsidRPr="00007C56">
              <w:t>Likely scoring level</w:t>
            </w:r>
          </w:p>
        </w:tc>
      </w:tr>
      <w:tr w:rsidR="00B70F04" w:rsidRPr="00007C56" w14:paraId="5EFBD7B8" w14:textId="77777777" w:rsidTr="00D22DF6">
        <w:trPr>
          <w:trHeight w:val="300"/>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14:paraId="25FDF147" w14:textId="77777777" w:rsidR="00B70F04" w:rsidRPr="00007C56" w:rsidRDefault="00B70F04" w:rsidP="00B70F04">
            <w:pPr>
              <w:pStyle w:val="Tabletext"/>
            </w:pPr>
            <w:r w:rsidRPr="00007C56">
              <w:t>1</w:t>
            </w:r>
          </w:p>
        </w:tc>
        <w:tc>
          <w:tcPr>
            <w:tcW w:w="1855" w:type="dxa"/>
            <w:vMerge w:val="restart"/>
            <w:tcBorders>
              <w:top w:val="nil"/>
              <w:left w:val="single" w:sz="4" w:space="0" w:color="auto"/>
              <w:bottom w:val="single" w:sz="4" w:space="0" w:color="auto"/>
              <w:right w:val="single" w:sz="4" w:space="0" w:color="auto"/>
            </w:tcBorders>
            <w:shd w:val="clear" w:color="auto" w:fill="auto"/>
            <w:vAlign w:val="center"/>
            <w:hideMark/>
          </w:tcPr>
          <w:p w14:paraId="1A1DE505" w14:textId="77777777" w:rsidR="00B70F04" w:rsidRPr="00007C56" w:rsidRDefault="00B70F04" w:rsidP="00B70F04">
            <w:pPr>
              <w:pStyle w:val="Tabletext"/>
            </w:pPr>
            <w:r w:rsidRPr="00007C56">
              <w:t>Outcome</w:t>
            </w:r>
          </w:p>
        </w:tc>
        <w:tc>
          <w:tcPr>
            <w:tcW w:w="622" w:type="dxa"/>
            <w:tcBorders>
              <w:top w:val="nil"/>
              <w:left w:val="nil"/>
              <w:bottom w:val="single" w:sz="4" w:space="0" w:color="auto"/>
              <w:right w:val="single" w:sz="4" w:space="0" w:color="auto"/>
            </w:tcBorders>
            <w:shd w:val="clear" w:color="auto" w:fill="auto"/>
            <w:vAlign w:val="center"/>
            <w:hideMark/>
          </w:tcPr>
          <w:p w14:paraId="07E7BB73" w14:textId="77777777" w:rsidR="00B70F04" w:rsidRPr="00007C56" w:rsidRDefault="00B70F04" w:rsidP="00B70F04">
            <w:pPr>
              <w:pStyle w:val="Tabletext"/>
            </w:pPr>
            <w:r w:rsidRPr="00007C56">
              <w:t>1.1.1</w:t>
            </w:r>
          </w:p>
        </w:tc>
        <w:tc>
          <w:tcPr>
            <w:tcW w:w="3438" w:type="dxa"/>
            <w:tcBorders>
              <w:top w:val="nil"/>
              <w:left w:val="nil"/>
              <w:bottom w:val="single" w:sz="4" w:space="0" w:color="auto"/>
              <w:right w:val="single" w:sz="4" w:space="0" w:color="auto"/>
            </w:tcBorders>
            <w:shd w:val="clear" w:color="auto" w:fill="auto"/>
            <w:vAlign w:val="center"/>
            <w:hideMark/>
          </w:tcPr>
          <w:p w14:paraId="600EDAF4" w14:textId="77777777" w:rsidR="00B70F04" w:rsidRPr="00007C56" w:rsidRDefault="00B70F04" w:rsidP="00B70F04">
            <w:pPr>
              <w:pStyle w:val="Tabletext"/>
            </w:pPr>
            <w:r w:rsidRPr="00007C56">
              <w:t>Stock status</w:t>
            </w:r>
          </w:p>
        </w:tc>
        <w:tc>
          <w:tcPr>
            <w:tcW w:w="1485" w:type="dxa"/>
            <w:tcBorders>
              <w:top w:val="nil"/>
              <w:left w:val="nil"/>
              <w:bottom w:val="single" w:sz="4" w:space="0" w:color="auto"/>
              <w:right w:val="single" w:sz="4" w:space="0" w:color="auto"/>
            </w:tcBorders>
            <w:shd w:val="clear" w:color="auto" w:fill="C2D69B" w:themeFill="accent3" w:themeFillTint="99"/>
            <w:vAlign w:val="center"/>
          </w:tcPr>
          <w:p w14:paraId="34F2BAFA" w14:textId="1ABACC9E" w:rsidR="00B70F04" w:rsidRPr="00F90DD6" w:rsidRDefault="00D22DF6" w:rsidP="00D22DF6">
            <w:pPr>
              <w:pStyle w:val="Tabletext"/>
              <w:jc w:val="center"/>
            </w:pPr>
            <w:r w:rsidRPr="00DA4A8C">
              <w:rPr>
                <w:rFonts w:cs="Arial"/>
                <w:color w:val="000000"/>
                <w:lang w:eastAsia="en-GB"/>
              </w:rPr>
              <w:t>≥80</w:t>
            </w:r>
          </w:p>
        </w:tc>
      </w:tr>
      <w:tr w:rsidR="00B70F04" w:rsidRPr="00007C56" w14:paraId="59D93466" w14:textId="77777777" w:rsidTr="00D22DF6">
        <w:trPr>
          <w:trHeight w:val="300"/>
        </w:trPr>
        <w:tc>
          <w:tcPr>
            <w:tcW w:w="940" w:type="dxa"/>
            <w:vMerge/>
            <w:tcBorders>
              <w:top w:val="nil"/>
              <w:left w:val="single" w:sz="4" w:space="0" w:color="auto"/>
              <w:bottom w:val="single" w:sz="4" w:space="0" w:color="auto"/>
              <w:right w:val="single" w:sz="4" w:space="0" w:color="auto"/>
            </w:tcBorders>
            <w:vAlign w:val="center"/>
            <w:hideMark/>
          </w:tcPr>
          <w:p w14:paraId="7E8F91F2" w14:textId="77777777" w:rsidR="00B70F04" w:rsidRPr="00007C56" w:rsidRDefault="00B70F04" w:rsidP="00B70F04">
            <w:pPr>
              <w:pStyle w:val="Tabletext"/>
            </w:pPr>
          </w:p>
        </w:tc>
        <w:tc>
          <w:tcPr>
            <w:tcW w:w="1855" w:type="dxa"/>
            <w:vMerge/>
            <w:tcBorders>
              <w:top w:val="nil"/>
              <w:left w:val="single" w:sz="4" w:space="0" w:color="auto"/>
              <w:bottom w:val="single" w:sz="4" w:space="0" w:color="auto"/>
              <w:right w:val="single" w:sz="4" w:space="0" w:color="auto"/>
            </w:tcBorders>
            <w:vAlign w:val="center"/>
            <w:hideMark/>
          </w:tcPr>
          <w:p w14:paraId="64DEE487" w14:textId="77777777" w:rsidR="00B70F04" w:rsidRPr="00007C56" w:rsidRDefault="00B70F04" w:rsidP="00B70F04">
            <w:pPr>
              <w:pStyle w:val="Tabletext"/>
            </w:pPr>
          </w:p>
        </w:tc>
        <w:tc>
          <w:tcPr>
            <w:tcW w:w="622" w:type="dxa"/>
            <w:tcBorders>
              <w:top w:val="nil"/>
              <w:left w:val="nil"/>
              <w:bottom w:val="single" w:sz="4" w:space="0" w:color="auto"/>
              <w:right w:val="single" w:sz="4" w:space="0" w:color="auto"/>
            </w:tcBorders>
            <w:shd w:val="clear" w:color="auto" w:fill="auto"/>
            <w:vAlign w:val="center"/>
            <w:hideMark/>
          </w:tcPr>
          <w:p w14:paraId="55F1F35F" w14:textId="77777777" w:rsidR="00B70F04" w:rsidRPr="00007C56" w:rsidRDefault="00B70F04" w:rsidP="00B70F04">
            <w:pPr>
              <w:pStyle w:val="Tabletext"/>
            </w:pPr>
            <w:r w:rsidRPr="00007C56">
              <w:t>1.1.2</w:t>
            </w:r>
          </w:p>
        </w:tc>
        <w:tc>
          <w:tcPr>
            <w:tcW w:w="3438" w:type="dxa"/>
            <w:tcBorders>
              <w:top w:val="nil"/>
              <w:left w:val="nil"/>
              <w:bottom w:val="single" w:sz="4" w:space="0" w:color="auto"/>
              <w:right w:val="single" w:sz="4" w:space="0" w:color="auto"/>
            </w:tcBorders>
            <w:shd w:val="clear" w:color="auto" w:fill="auto"/>
            <w:vAlign w:val="center"/>
            <w:hideMark/>
          </w:tcPr>
          <w:p w14:paraId="3E1265AB" w14:textId="77777777" w:rsidR="00B70F04" w:rsidRPr="00007C56" w:rsidRDefault="00B70F04" w:rsidP="00B70F04">
            <w:pPr>
              <w:pStyle w:val="Tabletext"/>
            </w:pPr>
            <w:r w:rsidRPr="00007C56">
              <w:t>Stock rebuilding</w:t>
            </w:r>
          </w:p>
        </w:tc>
        <w:tc>
          <w:tcPr>
            <w:tcW w:w="1485" w:type="dxa"/>
            <w:tcBorders>
              <w:top w:val="nil"/>
              <w:left w:val="nil"/>
              <w:bottom w:val="single" w:sz="4" w:space="0" w:color="auto"/>
              <w:right w:val="single" w:sz="4" w:space="0" w:color="auto"/>
            </w:tcBorders>
            <w:shd w:val="clear" w:color="auto" w:fill="auto"/>
            <w:vAlign w:val="center"/>
          </w:tcPr>
          <w:p w14:paraId="62D32903" w14:textId="77777777" w:rsidR="00B70F04" w:rsidRPr="00F90DD6" w:rsidRDefault="00B70F04" w:rsidP="00D22DF6">
            <w:pPr>
              <w:pStyle w:val="Tabletext"/>
              <w:jc w:val="center"/>
            </w:pPr>
          </w:p>
        </w:tc>
      </w:tr>
      <w:tr w:rsidR="00B70F04" w:rsidRPr="00007C56" w14:paraId="6785C4FE" w14:textId="77777777" w:rsidTr="00D22DF6">
        <w:trPr>
          <w:trHeight w:val="300"/>
        </w:trPr>
        <w:tc>
          <w:tcPr>
            <w:tcW w:w="940" w:type="dxa"/>
            <w:vMerge/>
            <w:tcBorders>
              <w:top w:val="nil"/>
              <w:left w:val="single" w:sz="4" w:space="0" w:color="auto"/>
              <w:bottom w:val="single" w:sz="4" w:space="0" w:color="auto"/>
              <w:right w:val="single" w:sz="4" w:space="0" w:color="auto"/>
            </w:tcBorders>
            <w:vAlign w:val="center"/>
            <w:hideMark/>
          </w:tcPr>
          <w:p w14:paraId="7CBC24DD" w14:textId="77777777" w:rsidR="00B70F04" w:rsidRPr="00007C56" w:rsidRDefault="00B70F04" w:rsidP="00B70F04">
            <w:pPr>
              <w:pStyle w:val="Tabletext"/>
            </w:pPr>
          </w:p>
        </w:tc>
        <w:tc>
          <w:tcPr>
            <w:tcW w:w="1855" w:type="dxa"/>
            <w:vMerge w:val="restart"/>
            <w:tcBorders>
              <w:top w:val="nil"/>
              <w:left w:val="single" w:sz="4" w:space="0" w:color="auto"/>
              <w:bottom w:val="single" w:sz="4" w:space="0" w:color="auto"/>
              <w:right w:val="single" w:sz="4" w:space="0" w:color="auto"/>
            </w:tcBorders>
            <w:shd w:val="clear" w:color="auto" w:fill="auto"/>
            <w:vAlign w:val="center"/>
            <w:hideMark/>
          </w:tcPr>
          <w:p w14:paraId="58DF1D22" w14:textId="77777777" w:rsidR="00B70F04" w:rsidRPr="00007C56" w:rsidRDefault="00B70F04" w:rsidP="00B70F04">
            <w:pPr>
              <w:pStyle w:val="Tabletext"/>
            </w:pPr>
            <w:r w:rsidRPr="00007C56">
              <w:t>Management</w:t>
            </w:r>
          </w:p>
        </w:tc>
        <w:tc>
          <w:tcPr>
            <w:tcW w:w="622" w:type="dxa"/>
            <w:tcBorders>
              <w:top w:val="nil"/>
              <w:left w:val="nil"/>
              <w:bottom w:val="single" w:sz="4" w:space="0" w:color="auto"/>
              <w:right w:val="single" w:sz="4" w:space="0" w:color="auto"/>
            </w:tcBorders>
            <w:shd w:val="clear" w:color="auto" w:fill="auto"/>
            <w:vAlign w:val="center"/>
            <w:hideMark/>
          </w:tcPr>
          <w:p w14:paraId="026D7C18" w14:textId="77777777" w:rsidR="00B70F04" w:rsidRPr="00007C56" w:rsidRDefault="00B70F04" w:rsidP="00B70F04">
            <w:pPr>
              <w:pStyle w:val="Tabletext"/>
            </w:pPr>
            <w:r w:rsidRPr="00007C56">
              <w:t>1.2.1</w:t>
            </w:r>
          </w:p>
        </w:tc>
        <w:tc>
          <w:tcPr>
            <w:tcW w:w="3438" w:type="dxa"/>
            <w:tcBorders>
              <w:top w:val="nil"/>
              <w:left w:val="nil"/>
              <w:bottom w:val="single" w:sz="4" w:space="0" w:color="auto"/>
              <w:right w:val="single" w:sz="4" w:space="0" w:color="auto"/>
            </w:tcBorders>
            <w:shd w:val="clear" w:color="auto" w:fill="auto"/>
            <w:vAlign w:val="center"/>
            <w:hideMark/>
          </w:tcPr>
          <w:p w14:paraId="3D3E56EC" w14:textId="77777777" w:rsidR="00B70F04" w:rsidRPr="00007C56" w:rsidRDefault="00B70F04" w:rsidP="00B70F04">
            <w:pPr>
              <w:pStyle w:val="Tabletext"/>
            </w:pPr>
            <w:r w:rsidRPr="00007C56">
              <w:t>Harvest Strategy</w:t>
            </w:r>
          </w:p>
        </w:tc>
        <w:tc>
          <w:tcPr>
            <w:tcW w:w="1485" w:type="dxa"/>
            <w:tcBorders>
              <w:top w:val="nil"/>
              <w:left w:val="nil"/>
              <w:bottom w:val="single" w:sz="4" w:space="0" w:color="auto"/>
              <w:right w:val="single" w:sz="4" w:space="0" w:color="auto"/>
            </w:tcBorders>
            <w:shd w:val="clear" w:color="auto" w:fill="D99594" w:themeFill="accent2" w:themeFillTint="99"/>
            <w:vAlign w:val="center"/>
          </w:tcPr>
          <w:p w14:paraId="1B996A0A" w14:textId="7632EF27" w:rsidR="00B70F04" w:rsidRPr="00F90DD6" w:rsidRDefault="00B676A7" w:rsidP="00D22DF6">
            <w:pPr>
              <w:pStyle w:val="Tabletext"/>
              <w:jc w:val="center"/>
            </w:pPr>
            <w:r>
              <w:t>&lt;60</w:t>
            </w:r>
          </w:p>
        </w:tc>
      </w:tr>
      <w:tr w:rsidR="00B70F04" w:rsidRPr="00007C56" w14:paraId="3FC398BA" w14:textId="77777777" w:rsidTr="00D22DF6">
        <w:trPr>
          <w:trHeight w:val="300"/>
        </w:trPr>
        <w:tc>
          <w:tcPr>
            <w:tcW w:w="940" w:type="dxa"/>
            <w:vMerge/>
            <w:tcBorders>
              <w:top w:val="nil"/>
              <w:left w:val="single" w:sz="4" w:space="0" w:color="auto"/>
              <w:bottom w:val="single" w:sz="4" w:space="0" w:color="auto"/>
              <w:right w:val="single" w:sz="4" w:space="0" w:color="auto"/>
            </w:tcBorders>
            <w:vAlign w:val="center"/>
            <w:hideMark/>
          </w:tcPr>
          <w:p w14:paraId="11E3296E" w14:textId="77777777" w:rsidR="00B70F04" w:rsidRPr="00007C56" w:rsidRDefault="00B70F04" w:rsidP="00B70F04">
            <w:pPr>
              <w:pStyle w:val="Tabletext"/>
            </w:pPr>
          </w:p>
        </w:tc>
        <w:tc>
          <w:tcPr>
            <w:tcW w:w="1855" w:type="dxa"/>
            <w:vMerge/>
            <w:tcBorders>
              <w:top w:val="nil"/>
              <w:left w:val="single" w:sz="4" w:space="0" w:color="auto"/>
              <w:bottom w:val="single" w:sz="4" w:space="0" w:color="auto"/>
              <w:right w:val="single" w:sz="4" w:space="0" w:color="auto"/>
            </w:tcBorders>
            <w:vAlign w:val="center"/>
            <w:hideMark/>
          </w:tcPr>
          <w:p w14:paraId="52B91CAE" w14:textId="77777777" w:rsidR="00B70F04" w:rsidRPr="00007C56" w:rsidRDefault="00B70F04" w:rsidP="00B70F04">
            <w:pPr>
              <w:pStyle w:val="Tabletext"/>
            </w:pPr>
          </w:p>
        </w:tc>
        <w:tc>
          <w:tcPr>
            <w:tcW w:w="622" w:type="dxa"/>
            <w:tcBorders>
              <w:top w:val="nil"/>
              <w:left w:val="nil"/>
              <w:bottom w:val="single" w:sz="4" w:space="0" w:color="auto"/>
              <w:right w:val="single" w:sz="4" w:space="0" w:color="auto"/>
            </w:tcBorders>
            <w:shd w:val="clear" w:color="auto" w:fill="auto"/>
            <w:vAlign w:val="center"/>
            <w:hideMark/>
          </w:tcPr>
          <w:p w14:paraId="228E1023" w14:textId="77777777" w:rsidR="00B70F04" w:rsidRPr="00007C56" w:rsidRDefault="00B70F04" w:rsidP="00B70F04">
            <w:pPr>
              <w:pStyle w:val="Tabletext"/>
            </w:pPr>
            <w:r w:rsidRPr="00007C56">
              <w:t>1.2.2</w:t>
            </w:r>
          </w:p>
        </w:tc>
        <w:tc>
          <w:tcPr>
            <w:tcW w:w="3438" w:type="dxa"/>
            <w:tcBorders>
              <w:top w:val="nil"/>
              <w:left w:val="nil"/>
              <w:bottom w:val="single" w:sz="4" w:space="0" w:color="auto"/>
              <w:right w:val="single" w:sz="4" w:space="0" w:color="auto"/>
            </w:tcBorders>
            <w:shd w:val="clear" w:color="auto" w:fill="auto"/>
            <w:vAlign w:val="center"/>
            <w:hideMark/>
          </w:tcPr>
          <w:p w14:paraId="3F0DC8C9" w14:textId="77777777" w:rsidR="00B70F04" w:rsidRPr="00007C56" w:rsidRDefault="00B70F04" w:rsidP="00B70F04">
            <w:pPr>
              <w:pStyle w:val="Tabletext"/>
            </w:pPr>
            <w:r w:rsidRPr="00007C56">
              <w:t>Harvest control rules and tools</w:t>
            </w:r>
          </w:p>
        </w:tc>
        <w:tc>
          <w:tcPr>
            <w:tcW w:w="1485" w:type="dxa"/>
            <w:tcBorders>
              <w:top w:val="nil"/>
              <w:left w:val="nil"/>
              <w:bottom w:val="single" w:sz="4" w:space="0" w:color="auto"/>
              <w:right w:val="single" w:sz="4" w:space="0" w:color="auto"/>
            </w:tcBorders>
            <w:shd w:val="clear" w:color="auto" w:fill="D99594" w:themeFill="accent2" w:themeFillTint="99"/>
            <w:vAlign w:val="center"/>
          </w:tcPr>
          <w:p w14:paraId="0EDC9818" w14:textId="1B0DA48E" w:rsidR="00B70F04" w:rsidRPr="00F90DD6" w:rsidRDefault="00B676A7" w:rsidP="00D22DF6">
            <w:pPr>
              <w:pStyle w:val="Tabletext"/>
              <w:jc w:val="center"/>
            </w:pPr>
            <w:r>
              <w:t>&lt;60</w:t>
            </w:r>
          </w:p>
        </w:tc>
      </w:tr>
      <w:tr w:rsidR="00B70F04" w:rsidRPr="00007C56" w14:paraId="03833B74" w14:textId="77777777" w:rsidTr="00D22DF6">
        <w:trPr>
          <w:trHeight w:val="300"/>
        </w:trPr>
        <w:tc>
          <w:tcPr>
            <w:tcW w:w="940" w:type="dxa"/>
            <w:vMerge/>
            <w:tcBorders>
              <w:top w:val="nil"/>
              <w:left w:val="single" w:sz="4" w:space="0" w:color="auto"/>
              <w:bottom w:val="single" w:sz="4" w:space="0" w:color="auto"/>
              <w:right w:val="single" w:sz="4" w:space="0" w:color="auto"/>
            </w:tcBorders>
            <w:vAlign w:val="center"/>
            <w:hideMark/>
          </w:tcPr>
          <w:p w14:paraId="4DC6E066" w14:textId="77777777" w:rsidR="00B70F04" w:rsidRPr="00007C56" w:rsidRDefault="00B70F04" w:rsidP="00B70F04">
            <w:pPr>
              <w:pStyle w:val="Tabletext"/>
            </w:pPr>
          </w:p>
        </w:tc>
        <w:tc>
          <w:tcPr>
            <w:tcW w:w="1855" w:type="dxa"/>
            <w:vMerge/>
            <w:tcBorders>
              <w:top w:val="nil"/>
              <w:left w:val="single" w:sz="4" w:space="0" w:color="auto"/>
              <w:bottom w:val="single" w:sz="4" w:space="0" w:color="auto"/>
              <w:right w:val="single" w:sz="4" w:space="0" w:color="auto"/>
            </w:tcBorders>
            <w:vAlign w:val="center"/>
            <w:hideMark/>
          </w:tcPr>
          <w:p w14:paraId="619B982C" w14:textId="77777777" w:rsidR="00B70F04" w:rsidRPr="00007C56" w:rsidRDefault="00B70F04" w:rsidP="00B70F04">
            <w:pPr>
              <w:pStyle w:val="Tabletext"/>
            </w:pPr>
          </w:p>
        </w:tc>
        <w:tc>
          <w:tcPr>
            <w:tcW w:w="622" w:type="dxa"/>
            <w:tcBorders>
              <w:top w:val="nil"/>
              <w:left w:val="nil"/>
              <w:bottom w:val="single" w:sz="4" w:space="0" w:color="auto"/>
              <w:right w:val="single" w:sz="4" w:space="0" w:color="auto"/>
            </w:tcBorders>
            <w:shd w:val="clear" w:color="auto" w:fill="auto"/>
            <w:vAlign w:val="center"/>
            <w:hideMark/>
          </w:tcPr>
          <w:p w14:paraId="2929B823" w14:textId="77777777" w:rsidR="00B70F04" w:rsidRPr="00007C56" w:rsidRDefault="00B70F04" w:rsidP="00B70F04">
            <w:pPr>
              <w:pStyle w:val="Tabletext"/>
            </w:pPr>
            <w:r w:rsidRPr="00007C56">
              <w:t>1.2.3</w:t>
            </w:r>
          </w:p>
        </w:tc>
        <w:tc>
          <w:tcPr>
            <w:tcW w:w="3438" w:type="dxa"/>
            <w:tcBorders>
              <w:top w:val="nil"/>
              <w:left w:val="nil"/>
              <w:bottom w:val="single" w:sz="4" w:space="0" w:color="auto"/>
              <w:right w:val="single" w:sz="4" w:space="0" w:color="auto"/>
            </w:tcBorders>
            <w:shd w:val="clear" w:color="auto" w:fill="auto"/>
            <w:vAlign w:val="center"/>
            <w:hideMark/>
          </w:tcPr>
          <w:p w14:paraId="4089DCA0" w14:textId="77777777" w:rsidR="00B70F04" w:rsidRPr="00007C56" w:rsidRDefault="00B70F04" w:rsidP="00B70F04">
            <w:pPr>
              <w:pStyle w:val="Tabletext"/>
            </w:pPr>
            <w:r w:rsidRPr="00007C56">
              <w:t>Information and monitoring</w:t>
            </w:r>
          </w:p>
        </w:tc>
        <w:tc>
          <w:tcPr>
            <w:tcW w:w="1485" w:type="dxa"/>
            <w:tcBorders>
              <w:top w:val="nil"/>
              <w:left w:val="nil"/>
              <w:bottom w:val="single" w:sz="4" w:space="0" w:color="auto"/>
              <w:right w:val="single" w:sz="4" w:space="0" w:color="auto"/>
            </w:tcBorders>
            <w:shd w:val="clear" w:color="auto" w:fill="C2D69B" w:themeFill="accent3" w:themeFillTint="99"/>
            <w:vAlign w:val="center"/>
          </w:tcPr>
          <w:p w14:paraId="03E1ABAA" w14:textId="776FA918" w:rsidR="00B70F04" w:rsidRPr="00F90DD6" w:rsidRDefault="00D22DF6" w:rsidP="00D22DF6">
            <w:pPr>
              <w:pStyle w:val="Tabletext"/>
              <w:jc w:val="center"/>
            </w:pPr>
            <w:r w:rsidRPr="00DA4A8C">
              <w:rPr>
                <w:rFonts w:cs="Arial"/>
                <w:color w:val="000000"/>
                <w:lang w:eastAsia="en-GB"/>
              </w:rPr>
              <w:t>≥80</w:t>
            </w:r>
          </w:p>
        </w:tc>
      </w:tr>
      <w:tr w:rsidR="00B70F04" w:rsidRPr="00007C56" w14:paraId="6A9A1781" w14:textId="77777777" w:rsidTr="00D22DF6">
        <w:trPr>
          <w:trHeight w:val="300"/>
        </w:trPr>
        <w:tc>
          <w:tcPr>
            <w:tcW w:w="940" w:type="dxa"/>
            <w:vMerge/>
            <w:tcBorders>
              <w:top w:val="nil"/>
              <w:left w:val="single" w:sz="4" w:space="0" w:color="auto"/>
              <w:bottom w:val="single" w:sz="4" w:space="0" w:color="auto"/>
              <w:right w:val="single" w:sz="4" w:space="0" w:color="auto"/>
            </w:tcBorders>
            <w:vAlign w:val="center"/>
            <w:hideMark/>
          </w:tcPr>
          <w:p w14:paraId="5C8C8870" w14:textId="77777777" w:rsidR="00B70F04" w:rsidRPr="00007C56" w:rsidRDefault="00B70F04" w:rsidP="00B70F04">
            <w:pPr>
              <w:pStyle w:val="Tabletext"/>
            </w:pPr>
          </w:p>
        </w:tc>
        <w:tc>
          <w:tcPr>
            <w:tcW w:w="1855" w:type="dxa"/>
            <w:vMerge/>
            <w:tcBorders>
              <w:top w:val="nil"/>
              <w:left w:val="single" w:sz="4" w:space="0" w:color="auto"/>
              <w:bottom w:val="single" w:sz="4" w:space="0" w:color="auto"/>
              <w:right w:val="single" w:sz="4" w:space="0" w:color="auto"/>
            </w:tcBorders>
            <w:vAlign w:val="center"/>
            <w:hideMark/>
          </w:tcPr>
          <w:p w14:paraId="165B0C7A" w14:textId="77777777" w:rsidR="00B70F04" w:rsidRPr="00007C56" w:rsidRDefault="00B70F04" w:rsidP="00B70F04">
            <w:pPr>
              <w:pStyle w:val="Tabletext"/>
            </w:pPr>
          </w:p>
        </w:tc>
        <w:tc>
          <w:tcPr>
            <w:tcW w:w="622" w:type="dxa"/>
            <w:tcBorders>
              <w:top w:val="nil"/>
              <w:left w:val="nil"/>
              <w:bottom w:val="single" w:sz="4" w:space="0" w:color="auto"/>
              <w:right w:val="single" w:sz="4" w:space="0" w:color="auto"/>
            </w:tcBorders>
            <w:shd w:val="clear" w:color="auto" w:fill="auto"/>
            <w:vAlign w:val="center"/>
            <w:hideMark/>
          </w:tcPr>
          <w:p w14:paraId="3DFA6B5A" w14:textId="77777777" w:rsidR="00B70F04" w:rsidRPr="00007C56" w:rsidRDefault="00B70F04" w:rsidP="00B70F04">
            <w:pPr>
              <w:pStyle w:val="Tabletext"/>
            </w:pPr>
            <w:r w:rsidRPr="00007C56">
              <w:t>1.2.4</w:t>
            </w:r>
          </w:p>
        </w:tc>
        <w:tc>
          <w:tcPr>
            <w:tcW w:w="3438" w:type="dxa"/>
            <w:tcBorders>
              <w:top w:val="nil"/>
              <w:left w:val="nil"/>
              <w:bottom w:val="single" w:sz="4" w:space="0" w:color="auto"/>
              <w:right w:val="single" w:sz="4" w:space="0" w:color="auto"/>
            </w:tcBorders>
            <w:shd w:val="clear" w:color="auto" w:fill="auto"/>
            <w:vAlign w:val="center"/>
            <w:hideMark/>
          </w:tcPr>
          <w:p w14:paraId="4AF53D07" w14:textId="77777777" w:rsidR="00B70F04" w:rsidRPr="00007C56" w:rsidRDefault="00B70F04" w:rsidP="00B70F04">
            <w:pPr>
              <w:pStyle w:val="Tabletext"/>
            </w:pPr>
            <w:r w:rsidRPr="00007C56">
              <w:t>Assessment of stock status</w:t>
            </w:r>
          </w:p>
        </w:tc>
        <w:tc>
          <w:tcPr>
            <w:tcW w:w="1485" w:type="dxa"/>
            <w:tcBorders>
              <w:top w:val="nil"/>
              <w:left w:val="nil"/>
              <w:bottom w:val="single" w:sz="4" w:space="0" w:color="auto"/>
              <w:right w:val="single" w:sz="4" w:space="0" w:color="auto"/>
            </w:tcBorders>
            <w:shd w:val="clear" w:color="auto" w:fill="C2D69B" w:themeFill="accent3" w:themeFillTint="99"/>
            <w:vAlign w:val="center"/>
          </w:tcPr>
          <w:p w14:paraId="3D330D82" w14:textId="347D1561" w:rsidR="00B70F04" w:rsidRPr="00F90DD6" w:rsidRDefault="00D22DF6" w:rsidP="00D22DF6">
            <w:pPr>
              <w:pStyle w:val="Tabletext"/>
              <w:jc w:val="center"/>
            </w:pPr>
            <w:r w:rsidRPr="00DA4A8C">
              <w:rPr>
                <w:rFonts w:cs="Arial"/>
                <w:color w:val="000000"/>
                <w:lang w:eastAsia="en-GB"/>
              </w:rPr>
              <w:t>≥80</w:t>
            </w:r>
          </w:p>
        </w:tc>
      </w:tr>
      <w:tr w:rsidR="00B70F04" w:rsidRPr="00007C56" w14:paraId="2F57CB5E" w14:textId="77777777" w:rsidTr="00D22DF6">
        <w:trPr>
          <w:trHeight w:val="300"/>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14:paraId="3484A38E" w14:textId="77777777" w:rsidR="00B70F04" w:rsidRPr="00007C56" w:rsidRDefault="00B70F04" w:rsidP="00B70F04">
            <w:pPr>
              <w:pStyle w:val="Tabletext"/>
            </w:pPr>
            <w:r w:rsidRPr="00007C56">
              <w:t>2</w:t>
            </w:r>
          </w:p>
        </w:tc>
        <w:tc>
          <w:tcPr>
            <w:tcW w:w="1855" w:type="dxa"/>
            <w:vMerge w:val="restart"/>
            <w:tcBorders>
              <w:top w:val="nil"/>
              <w:left w:val="single" w:sz="4" w:space="0" w:color="auto"/>
              <w:bottom w:val="single" w:sz="4" w:space="0" w:color="auto"/>
              <w:right w:val="single" w:sz="4" w:space="0" w:color="auto"/>
            </w:tcBorders>
            <w:shd w:val="clear" w:color="auto" w:fill="auto"/>
            <w:vAlign w:val="center"/>
            <w:hideMark/>
          </w:tcPr>
          <w:p w14:paraId="5F834372" w14:textId="77777777" w:rsidR="00B70F04" w:rsidRPr="00007C56" w:rsidRDefault="00B70F04" w:rsidP="00B70F04">
            <w:pPr>
              <w:pStyle w:val="Tabletext"/>
            </w:pPr>
            <w:r w:rsidRPr="00007C56">
              <w:t>Primary Species</w:t>
            </w:r>
          </w:p>
        </w:tc>
        <w:tc>
          <w:tcPr>
            <w:tcW w:w="622" w:type="dxa"/>
            <w:tcBorders>
              <w:top w:val="nil"/>
              <w:left w:val="nil"/>
              <w:bottom w:val="single" w:sz="4" w:space="0" w:color="auto"/>
              <w:right w:val="single" w:sz="4" w:space="0" w:color="auto"/>
            </w:tcBorders>
            <w:shd w:val="clear" w:color="auto" w:fill="auto"/>
            <w:vAlign w:val="center"/>
            <w:hideMark/>
          </w:tcPr>
          <w:p w14:paraId="49BF437B" w14:textId="77777777" w:rsidR="00B70F04" w:rsidRPr="00007C56" w:rsidRDefault="00B70F04" w:rsidP="00B70F04">
            <w:pPr>
              <w:pStyle w:val="Tabletext"/>
            </w:pPr>
            <w:r w:rsidRPr="00007C56">
              <w:t>2.1.1</w:t>
            </w:r>
          </w:p>
        </w:tc>
        <w:tc>
          <w:tcPr>
            <w:tcW w:w="3438" w:type="dxa"/>
            <w:tcBorders>
              <w:top w:val="nil"/>
              <w:left w:val="nil"/>
              <w:bottom w:val="single" w:sz="4" w:space="0" w:color="auto"/>
              <w:right w:val="single" w:sz="4" w:space="0" w:color="auto"/>
            </w:tcBorders>
            <w:shd w:val="clear" w:color="auto" w:fill="auto"/>
            <w:vAlign w:val="center"/>
            <w:hideMark/>
          </w:tcPr>
          <w:p w14:paraId="498CA212" w14:textId="77777777" w:rsidR="00B70F04" w:rsidRPr="00007C56" w:rsidRDefault="00B70F04" w:rsidP="00B70F04">
            <w:pPr>
              <w:pStyle w:val="Tabletext"/>
            </w:pPr>
            <w:r w:rsidRPr="00007C56">
              <w:t>Outcome</w:t>
            </w:r>
          </w:p>
        </w:tc>
        <w:tc>
          <w:tcPr>
            <w:tcW w:w="1485" w:type="dxa"/>
            <w:tcBorders>
              <w:top w:val="nil"/>
              <w:left w:val="nil"/>
              <w:bottom w:val="single" w:sz="4" w:space="0" w:color="auto"/>
              <w:right w:val="single" w:sz="4" w:space="0" w:color="auto"/>
            </w:tcBorders>
            <w:shd w:val="clear" w:color="auto" w:fill="C2D69B" w:themeFill="accent3" w:themeFillTint="99"/>
            <w:vAlign w:val="center"/>
          </w:tcPr>
          <w:p w14:paraId="333264F5" w14:textId="3C127FF8" w:rsidR="00B70F04" w:rsidRPr="00F90DD6" w:rsidRDefault="00D22DF6" w:rsidP="00D22DF6">
            <w:pPr>
              <w:pStyle w:val="Tabletext"/>
              <w:jc w:val="center"/>
            </w:pPr>
            <w:r w:rsidRPr="00DA4A8C">
              <w:rPr>
                <w:rFonts w:cs="Arial"/>
                <w:color w:val="000000"/>
                <w:lang w:eastAsia="en-GB"/>
              </w:rPr>
              <w:t>≥80</w:t>
            </w:r>
          </w:p>
        </w:tc>
      </w:tr>
      <w:tr w:rsidR="00B70F04" w:rsidRPr="00007C56" w14:paraId="4200ACD3" w14:textId="77777777" w:rsidTr="00D22DF6">
        <w:trPr>
          <w:trHeight w:val="300"/>
        </w:trPr>
        <w:tc>
          <w:tcPr>
            <w:tcW w:w="940" w:type="dxa"/>
            <w:vMerge/>
            <w:tcBorders>
              <w:top w:val="nil"/>
              <w:left w:val="single" w:sz="4" w:space="0" w:color="auto"/>
              <w:bottom w:val="single" w:sz="4" w:space="0" w:color="auto"/>
              <w:right w:val="single" w:sz="4" w:space="0" w:color="auto"/>
            </w:tcBorders>
            <w:vAlign w:val="center"/>
            <w:hideMark/>
          </w:tcPr>
          <w:p w14:paraId="5621B01C" w14:textId="77777777" w:rsidR="00B70F04" w:rsidRPr="00007C56" w:rsidRDefault="00B70F04" w:rsidP="00B70F04">
            <w:pPr>
              <w:pStyle w:val="Tabletext"/>
            </w:pPr>
          </w:p>
        </w:tc>
        <w:tc>
          <w:tcPr>
            <w:tcW w:w="1855" w:type="dxa"/>
            <w:vMerge/>
            <w:tcBorders>
              <w:top w:val="nil"/>
              <w:left w:val="single" w:sz="4" w:space="0" w:color="auto"/>
              <w:bottom w:val="single" w:sz="4" w:space="0" w:color="auto"/>
              <w:right w:val="single" w:sz="4" w:space="0" w:color="auto"/>
            </w:tcBorders>
            <w:vAlign w:val="center"/>
            <w:hideMark/>
          </w:tcPr>
          <w:p w14:paraId="656E0FA4" w14:textId="77777777" w:rsidR="00B70F04" w:rsidRPr="00007C56" w:rsidRDefault="00B70F04" w:rsidP="00B70F04">
            <w:pPr>
              <w:pStyle w:val="Tabletext"/>
            </w:pPr>
          </w:p>
        </w:tc>
        <w:tc>
          <w:tcPr>
            <w:tcW w:w="622" w:type="dxa"/>
            <w:tcBorders>
              <w:top w:val="nil"/>
              <w:left w:val="nil"/>
              <w:bottom w:val="single" w:sz="4" w:space="0" w:color="auto"/>
              <w:right w:val="single" w:sz="4" w:space="0" w:color="auto"/>
            </w:tcBorders>
            <w:shd w:val="clear" w:color="auto" w:fill="auto"/>
            <w:vAlign w:val="center"/>
            <w:hideMark/>
          </w:tcPr>
          <w:p w14:paraId="4A5AEEE1" w14:textId="77777777" w:rsidR="00B70F04" w:rsidRPr="00007C56" w:rsidRDefault="00B70F04" w:rsidP="00B70F04">
            <w:pPr>
              <w:pStyle w:val="Tabletext"/>
            </w:pPr>
            <w:r w:rsidRPr="00007C56">
              <w:t>2.1.2</w:t>
            </w:r>
          </w:p>
        </w:tc>
        <w:tc>
          <w:tcPr>
            <w:tcW w:w="3438" w:type="dxa"/>
            <w:tcBorders>
              <w:top w:val="nil"/>
              <w:left w:val="nil"/>
              <w:bottom w:val="single" w:sz="4" w:space="0" w:color="auto"/>
              <w:right w:val="single" w:sz="4" w:space="0" w:color="auto"/>
            </w:tcBorders>
            <w:shd w:val="clear" w:color="auto" w:fill="auto"/>
            <w:vAlign w:val="center"/>
            <w:hideMark/>
          </w:tcPr>
          <w:p w14:paraId="1D8B0196" w14:textId="77777777" w:rsidR="00B70F04" w:rsidRPr="00007C56" w:rsidRDefault="00B70F04" w:rsidP="00B70F04">
            <w:pPr>
              <w:pStyle w:val="Tabletext"/>
            </w:pPr>
            <w:r w:rsidRPr="00007C56">
              <w:t>Management</w:t>
            </w:r>
          </w:p>
        </w:tc>
        <w:tc>
          <w:tcPr>
            <w:tcW w:w="1485" w:type="dxa"/>
            <w:tcBorders>
              <w:top w:val="nil"/>
              <w:left w:val="nil"/>
              <w:bottom w:val="single" w:sz="4" w:space="0" w:color="auto"/>
              <w:right w:val="single" w:sz="4" w:space="0" w:color="auto"/>
            </w:tcBorders>
            <w:shd w:val="clear" w:color="auto" w:fill="FABF8F" w:themeFill="accent6" w:themeFillTint="99"/>
            <w:vAlign w:val="center"/>
          </w:tcPr>
          <w:p w14:paraId="78C894C8" w14:textId="78DD759C" w:rsidR="00B70F04" w:rsidRPr="00F90DD6" w:rsidRDefault="00F4382E" w:rsidP="00D22DF6">
            <w:pPr>
              <w:pStyle w:val="Tabletext"/>
              <w:jc w:val="center"/>
            </w:pPr>
            <w:r>
              <w:t>60</w:t>
            </w:r>
            <w:r w:rsidR="00D22DF6">
              <w:t>-79</w:t>
            </w:r>
          </w:p>
        </w:tc>
      </w:tr>
      <w:tr w:rsidR="00B70F04" w:rsidRPr="00007C56" w14:paraId="0AB1DBA9" w14:textId="77777777" w:rsidTr="00D22DF6">
        <w:trPr>
          <w:trHeight w:val="300"/>
        </w:trPr>
        <w:tc>
          <w:tcPr>
            <w:tcW w:w="940" w:type="dxa"/>
            <w:vMerge/>
            <w:tcBorders>
              <w:top w:val="nil"/>
              <w:left w:val="single" w:sz="4" w:space="0" w:color="auto"/>
              <w:bottom w:val="single" w:sz="4" w:space="0" w:color="auto"/>
              <w:right w:val="single" w:sz="4" w:space="0" w:color="auto"/>
            </w:tcBorders>
            <w:vAlign w:val="center"/>
            <w:hideMark/>
          </w:tcPr>
          <w:p w14:paraId="2EF2F159" w14:textId="77777777" w:rsidR="00B70F04" w:rsidRPr="00007C56" w:rsidRDefault="00B70F04" w:rsidP="00B70F04">
            <w:pPr>
              <w:pStyle w:val="Tabletext"/>
            </w:pPr>
          </w:p>
        </w:tc>
        <w:tc>
          <w:tcPr>
            <w:tcW w:w="1855" w:type="dxa"/>
            <w:vMerge/>
            <w:tcBorders>
              <w:top w:val="nil"/>
              <w:left w:val="single" w:sz="4" w:space="0" w:color="auto"/>
              <w:bottom w:val="single" w:sz="4" w:space="0" w:color="auto"/>
              <w:right w:val="single" w:sz="4" w:space="0" w:color="auto"/>
            </w:tcBorders>
            <w:vAlign w:val="center"/>
            <w:hideMark/>
          </w:tcPr>
          <w:p w14:paraId="39219CE1" w14:textId="77777777" w:rsidR="00B70F04" w:rsidRPr="00007C56" w:rsidRDefault="00B70F04" w:rsidP="00B70F04">
            <w:pPr>
              <w:pStyle w:val="Tabletext"/>
            </w:pPr>
          </w:p>
        </w:tc>
        <w:tc>
          <w:tcPr>
            <w:tcW w:w="622" w:type="dxa"/>
            <w:tcBorders>
              <w:top w:val="nil"/>
              <w:left w:val="nil"/>
              <w:bottom w:val="single" w:sz="4" w:space="0" w:color="auto"/>
              <w:right w:val="single" w:sz="4" w:space="0" w:color="auto"/>
            </w:tcBorders>
            <w:shd w:val="clear" w:color="auto" w:fill="auto"/>
            <w:vAlign w:val="center"/>
            <w:hideMark/>
          </w:tcPr>
          <w:p w14:paraId="598C2A65" w14:textId="77777777" w:rsidR="00B70F04" w:rsidRPr="00007C56" w:rsidRDefault="00B70F04" w:rsidP="00B70F04">
            <w:pPr>
              <w:pStyle w:val="Tabletext"/>
            </w:pPr>
            <w:r w:rsidRPr="00007C56">
              <w:t>2.1.3</w:t>
            </w:r>
          </w:p>
        </w:tc>
        <w:tc>
          <w:tcPr>
            <w:tcW w:w="3438" w:type="dxa"/>
            <w:tcBorders>
              <w:top w:val="nil"/>
              <w:left w:val="nil"/>
              <w:bottom w:val="single" w:sz="4" w:space="0" w:color="auto"/>
              <w:right w:val="single" w:sz="4" w:space="0" w:color="auto"/>
            </w:tcBorders>
            <w:shd w:val="clear" w:color="auto" w:fill="auto"/>
            <w:vAlign w:val="center"/>
            <w:hideMark/>
          </w:tcPr>
          <w:p w14:paraId="7143498B" w14:textId="77777777" w:rsidR="00B70F04" w:rsidRPr="00007C56" w:rsidRDefault="00B70F04" w:rsidP="00B70F04">
            <w:pPr>
              <w:pStyle w:val="Tabletext"/>
            </w:pPr>
            <w:r w:rsidRPr="00007C56">
              <w:t>Information</w:t>
            </w:r>
          </w:p>
        </w:tc>
        <w:tc>
          <w:tcPr>
            <w:tcW w:w="1485" w:type="dxa"/>
            <w:tcBorders>
              <w:top w:val="nil"/>
              <w:left w:val="nil"/>
              <w:bottom w:val="single" w:sz="4" w:space="0" w:color="auto"/>
              <w:right w:val="single" w:sz="4" w:space="0" w:color="auto"/>
            </w:tcBorders>
            <w:shd w:val="clear" w:color="auto" w:fill="C2D69B" w:themeFill="accent3" w:themeFillTint="99"/>
            <w:vAlign w:val="center"/>
          </w:tcPr>
          <w:p w14:paraId="3D694611" w14:textId="62F5DAE7" w:rsidR="00B70F04" w:rsidRPr="00F90DD6" w:rsidRDefault="00D22DF6" w:rsidP="00D22DF6">
            <w:pPr>
              <w:pStyle w:val="Tabletext"/>
              <w:jc w:val="center"/>
            </w:pPr>
            <w:r w:rsidRPr="00DA4A8C">
              <w:rPr>
                <w:rFonts w:cs="Arial"/>
                <w:color w:val="000000"/>
                <w:lang w:eastAsia="en-GB"/>
              </w:rPr>
              <w:t>≥80</w:t>
            </w:r>
          </w:p>
        </w:tc>
      </w:tr>
      <w:tr w:rsidR="00B70F04" w:rsidRPr="00007C56" w14:paraId="13CC8C65" w14:textId="77777777" w:rsidTr="00D22DF6">
        <w:trPr>
          <w:trHeight w:val="300"/>
        </w:trPr>
        <w:tc>
          <w:tcPr>
            <w:tcW w:w="940" w:type="dxa"/>
            <w:vMerge/>
            <w:tcBorders>
              <w:top w:val="nil"/>
              <w:left w:val="single" w:sz="4" w:space="0" w:color="auto"/>
              <w:bottom w:val="single" w:sz="4" w:space="0" w:color="auto"/>
              <w:right w:val="single" w:sz="4" w:space="0" w:color="auto"/>
            </w:tcBorders>
            <w:vAlign w:val="center"/>
            <w:hideMark/>
          </w:tcPr>
          <w:p w14:paraId="6444A1EF" w14:textId="77777777" w:rsidR="00B70F04" w:rsidRPr="00007C56" w:rsidRDefault="00B70F04" w:rsidP="00B70F04">
            <w:pPr>
              <w:pStyle w:val="Tabletext"/>
            </w:pPr>
          </w:p>
        </w:tc>
        <w:tc>
          <w:tcPr>
            <w:tcW w:w="1855" w:type="dxa"/>
            <w:vMerge w:val="restart"/>
            <w:tcBorders>
              <w:top w:val="nil"/>
              <w:left w:val="single" w:sz="4" w:space="0" w:color="auto"/>
              <w:bottom w:val="single" w:sz="4" w:space="0" w:color="auto"/>
              <w:right w:val="single" w:sz="4" w:space="0" w:color="auto"/>
            </w:tcBorders>
            <w:shd w:val="clear" w:color="auto" w:fill="auto"/>
            <w:vAlign w:val="center"/>
            <w:hideMark/>
          </w:tcPr>
          <w:p w14:paraId="380528DD" w14:textId="77777777" w:rsidR="00B70F04" w:rsidRPr="00007C56" w:rsidRDefault="00B70F04" w:rsidP="00B70F04">
            <w:pPr>
              <w:pStyle w:val="Tabletext"/>
            </w:pPr>
            <w:r w:rsidRPr="00007C56">
              <w:t>Secondary species</w:t>
            </w:r>
          </w:p>
        </w:tc>
        <w:tc>
          <w:tcPr>
            <w:tcW w:w="622" w:type="dxa"/>
            <w:tcBorders>
              <w:top w:val="nil"/>
              <w:left w:val="nil"/>
              <w:bottom w:val="single" w:sz="4" w:space="0" w:color="auto"/>
              <w:right w:val="single" w:sz="4" w:space="0" w:color="auto"/>
            </w:tcBorders>
            <w:shd w:val="clear" w:color="auto" w:fill="auto"/>
            <w:vAlign w:val="center"/>
            <w:hideMark/>
          </w:tcPr>
          <w:p w14:paraId="38FD745C" w14:textId="77777777" w:rsidR="00B70F04" w:rsidRPr="00007C56" w:rsidRDefault="00B70F04" w:rsidP="00B70F04">
            <w:pPr>
              <w:pStyle w:val="Tabletext"/>
            </w:pPr>
            <w:r w:rsidRPr="00007C56">
              <w:t>2.2.1</w:t>
            </w:r>
          </w:p>
        </w:tc>
        <w:tc>
          <w:tcPr>
            <w:tcW w:w="3438" w:type="dxa"/>
            <w:tcBorders>
              <w:top w:val="nil"/>
              <w:left w:val="nil"/>
              <w:bottom w:val="single" w:sz="4" w:space="0" w:color="auto"/>
              <w:right w:val="single" w:sz="4" w:space="0" w:color="auto"/>
            </w:tcBorders>
            <w:shd w:val="clear" w:color="auto" w:fill="auto"/>
            <w:vAlign w:val="center"/>
            <w:hideMark/>
          </w:tcPr>
          <w:p w14:paraId="6E65D199" w14:textId="77777777" w:rsidR="00B70F04" w:rsidRPr="00007C56" w:rsidRDefault="00B70F04" w:rsidP="00B70F04">
            <w:pPr>
              <w:pStyle w:val="Tabletext"/>
            </w:pPr>
            <w:r w:rsidRPr="00007C56">
              <w:t>Outcome</w:t>
            </w:r>
          </w:p>
        </w:tc>
        <w:tc>
          <w:tcPr>
            <w:tcW w:w="1485" w:type="dxa"/>
            <w:tcBorders>
              <w:top w:val="nil"/>
              <w:left w:val="nil"/>
              <w:bottom w:val="single" w:sz="4" w:space="0" w:color="auto"/>
              <w:right w:val="single" w:sz="4" w:space="0" w:color="auto"/>
            </w:tcBorders>
            <w:shd w:val="clear" w:color="auto" w:fill="C2D69B" w:themeFill="accent3" w:themeFillTint="99"/>
            <w:vAlign w:val="center"/>
          </w:tcPr>
          <w:p w14:paraId="5326D52A" w14:textId="0CDBCC14" w:rsidR="00B70F04" w:rsidRPr="00F90DD6" w:rsidRDefault="00D22DF6" w:rsidP="00D22DF6">
            <w:pPr>
              <w:pStyle w:val="Tabletext"/>
              <w:jc w:val="center"/>
            </w:pPr>
            <w:r w:rsidRPr="00DA4A8C">
              <w:rPr>
                <w:rFonts w:cs="Arial"/>
                <w:color w:val="000000"/>
                <w:lang w:eastAsia="en-GB"/>
              </w:rPr>
              <w:t>≥80</w:t>
            </w:r>
          </w:p>
        </w:tc>
      </w:tr>
      <w:tr w:rsidR="00B70F04" w:rsidRPr="00007C56" w14:paraId="418C7DA9" w14:textId="77777777" w:rsidTr="00D22DF6">
        <w:trPr>
          <w:trHeight w:val="300"/>
        </w:trPr>
        <w:tc>
          <w:tcPr>
            <w:tcW w:w="940" w:type="dxa"/>
            <w:vMerge/>
            <w:tcBorders>
              <w:top w:val="nil"/>
              <w:left w:val="single" w:sz="4" w:space="0" w:color="auto"/>
              <w:bottom w:val="single" w:sz="4" w:space="0" w:color="auto"/>
              <w:right w:val="single" w:sz="4" w:space="0" w:color="auto"/>
            </w:tcBorders>
            <w:vAlign w:val="center"/>
            <w:hideMark/>
          </w:tcPr>
          <w:p w14:paraId="2932B3E4" w14:textId="77777777" w:rsidR="00B70F04" w:rsidRPr="00007C56" w:rsidRDefault="00B70F04" w:rsidP="00B70F04">
            <w:pPr>
              <w:pStyle w:val="Tabletext"/>
            </w:pPr>
          </w:p>
        </w:tc>
        <w:tc>
          <w:tcPr>
            <w:tcW w:w="1855" w:type="dxa"/>
            <w:vMerge/>
            <w:tcBorders>
              <w:top w:val="nil"/>
              <w:left w:val="single" w:sz="4" w:space="0" w:color="auto"/>
              <w:bottom w:val="single" w:sz="4" w:space="0" w:color="auto"/>
              <w:right w:val="single" w:sz="4" w:space="0" w:color="auto"/>
            </w:tcBorders>
            <w:vAlign w:val="center"/>
            <w:hideMark/>
          </w:tcPr>
          <w:p w14:paraId="192C0A52" w14:textId="77777777" w:rsidR="00B70F04" w:rsidRPr="00007C56" w:rsidRDefault="00B70F04" w:rsidP="00B70F04">
            <w:pPr>
              <w:pStyle w:val="Tabletext"/>
            </w:pPr>
          </w:p>
        </w:tc>
        <w:tc>
          <w:tcPr>
            <w:tcW w:w="622" w:type="dxa"/>
            <w:tcBorders>
              <w:top w:val="nil"/>
              <w:left w:val="nil"/>
              <w:bottom w:val="single" w:sz="4" w:space="0" w:color="auto"/>
              <w:right w:val="single" w:sz="4" w:space="0" w:color="auto"/>
            </w:tcBorders>
            <w:shd w:val="clear" w:color="auto" w:fill="auto"/>
            <w:vAlign w:val="center"/>
            <w:hideMark/>
          </w:tcPr>
          <w:p w14:paraId="4994B31F" w14:textId="77777777" w:rsidR="00B70F04" w:rsidRPr="00007C56" w:rsidRDefault="00B70F04" w:rsidP="00B70F04">
            <w:pPr>
              <w:pStyle w:val="Tabletext"/>
            </w:pPr>
            <w:r w:rsidRPr="00007C56">
              <w:t>2.2.2</w:t>
            </w:r>
          </w:p>
        </w:tc>
        <w:tc>
          <w:tcPr>
            <w:tcW w:w="3438" w:type="dxa"/>
            <w:tcBorders>
              <w:top w:val="nil"/>
              <w:left w:val="nil"/>
              <w:bottom w:val="single" w:sz="4" w:space="0" w:color="auto"/>
              <w:right w:val="single" w:sz="4" w:space="0" w:color="auto"/>
            </w:tcBorders>
            <w:shd w:val="clear" w:color="auto" w:fill="auto"/>
            <w:vAlign w:val="center"/>
            <w:hideMark/>
          </w:tcPr>
          <w:p w14:paraId="68A8831A" w14:textId="77777777" w:rsidR="00B70F04" w:rsidRPr="00007C56" w:rsidRDefault="00B70F04" w:rsidP="00B70F04">
            <w:pPr>
              <w:pStyle w:val="Tabletext"/>
            </w:pPr>
            <w:r w:rsidRPr="00007C56">
              <w:t>Management</w:t>
            </w:r>
          </w:p>
        </w:tc>
        <w:tc>
          <w:tcPr>
            <w:tcW w:w="1485" w:type="dxa"/>
            <w:tcBorders>
              <w:top w:val="nil"/>
              <w:left w:val="nil"/>
              <w:bottom w:val="single" w:sz="4" w:space="0" w:color="auto"/>
              <w:right w:val="single" w:sz="4" w:space="0" w:color="auto"/>
            </w:tcBorders>
            <w:shd w:val="clear" w:color="auto" w:fill="FABF8F" w:themeFill="accent6" w:themeFillTint="99"/>
            <w:vAlign w:val="center"/>
          </w:tcPr>
          <w:p w14:paraId="23BA6A4B" w14:textId="6730CDEA" w:rsidR="00B70F04" w:rsidRPr="00F90DD6" w:rsidRDefault="00D22DF6" w:rsidP="00D22DF6">
            <w:pPr>
              <w:pStyle w:val="Tabletext"/>
              <w:jc w:val="center"/>
            </w:pPr>
            <w:r>
              <w:t>60-79</w:t>
            </w:r>
          </w:p>
        </w:tc>
      </w:tr>
      <w:tr w:rsidR="00D22DF6" w:rsidRPr="00007C56" w14:paraId="67B602CE" w14:textId="77777777" w:rsidTr="00D22DF6">
        <w:trPr>
          <w:trHeight w:val="300"/>
        </w:trPr>
        <w:tc>
          <w:tcPr>
            <w:tcW w:w="940" w:type="dxa"/>
            <w:vMerge/>
            <w:tcBorders>
              <w:top w:val="nil"/>
              <w:left w:val="single" w:sz="4" w:space="0" w:color="auto"/>
              <w:bottom w:val="single" w:sz="4" w:space="0" w:color="auto"/>
              <w:right w:val="single" w:sz="4" w:space="0" w:color="auto"/>
            </w:tcBorders>
            <w:vAlign w:val="center"/>
            <w:hideMark/>
          </w:tcPr>
          <w:p w14:paraId="45BDA1FF" w14:textId="77777777" w:rsidR="00D22DF6" w:rsidRPr="00007C56" w:rsidRDefault="00D22DF6" w:rsidP="00B70F04">
            <w:pPr>
              <w:pStyle w:val="Tabletext"/>
            </w:pPr>
          </w:p>
        </w:tc>
        <w:tc>
          <w:tcPr>
            <w:tcW w:w="1855" w:type="dxa"/>
            <w:vMerge/>
            <w:tcBorders>
              <w:top w:val="nil"/>
              <w:left w:val="single" w:sz="4" w:space="0" w:color="auto"/>
              <w:bottom w:val="single" w:sz="4" w:space="0" w:color="auto"/>
              <w:right w:val="single" w:sz="4" w:space="0" w:color="auto"/>
            </w:tcBorders>
            <w:vAlign w:val="center"/>
            <w:hideMark/>
          </w:tcPr>
          <w:p w14:paraId="16FC992B" w14:textId="77777777" w:rsidR="00D22DF6" w:rsidRPr="00007C56" w:rsidRDefault="00D22DF6" w:rsidP="00B70F04">
            <w:pPr>
              <w:pStyle w:val="Tabletext"/>
            </w:pPr>
          </w:p>
        </w:tc>
        <w:tc>
          <w:tcPr>
            <w:tcW w:w="622" w:type="dxa"/>
            <w:tcBorders>
              <w:top w:val="nil"/>
              <w:left w:val="nil"/>
              <w:bottom w:val="single" w:sz="4" w:space="0" w:color="auto"/>
              <w:right w:val="single" w:sz="4" w:space="0" w:color="auto"/>
            </w:tcBorders>
            <w:shd w:val="clear" w:color="auto" w:fill="auto"/>
            <w:vAlign w:val="center"/>
            <w:hideMark/>
          </w:tcPr>
          <w:p w14:paraId="738CBED1" w14:textId="77777777" w:rsidR="00D22DF6" w:rsidRPr="00007C56" w:rsidRDefault="00D22DF6" w:rsidP="00B70F04">
            <w:pPr>
              <w:pStyle w:val="Tabletext"/>
            </w:pPr>
            <w:r w:rsidRPr="00007C56">
              <w:t>2.2.3</w:t>
            </w:r>
          </w:p>
        </w:tc>
        <w:tc>
          <w:tcPr>
            <w:tcW w:w="3438" w:type="dxa"/>
            <w:tcBorders>
              <w:top w:val="nil"/>
              <w:left w:val="nil"/>
              <w:bottom w:val="single" w:sz="4" w:space="0" w:color="auto"/>
              <w:right w:val="single" w:sz="4" w:space="0" w:color="auto"/>
            </w:tcBorders>
            <w:shd w:val="clear" w:color="auto" w:fill="auto"/>
            <w:vAlign w:val="center"/>
            <w:hideMark/>
          </w:tcPr>
          <w:p w14:paraId="79813A9A" w14:textId="77777777" w:rsidR="00D22DF6" w:rsidRPr="00007C56" w:rsidRDefault="00D22DF6" w:rsidP="00B70F04">
            <w:pPr>
              <w:pStyle w:val="Tabletext"/>
            </w:pPr>
            <w:r w:rsidRPr="00007C56">
              <w:t>Information</w:t>
            </w:r>
          </w:p>
        </w:tc>
        <w:tc>
          <w:tcPr>
            <w:tcW w:w="1485" w:type="dxa"/>
            <w:tcBorders>
              <w:top w:val="nil"/>
              <w:left w:val="nil"/>
              <w:bottom w:val="single" w:sz="4" w:space="0" w:color="auto"/>
              <w:right w:val="single" w:sz="4" w:space="0" w:color="auto"/>
            </w:tcBorders>
            <w:shd w:val="clear" w:color="auto" w:fill="FABF8F" w:themeFill="accent6" w:themeFillTint="99"/>
          </w:tcPr>
          <w:p w14:paraId="6DB22EB0" w14:textId="716C727F" w:rsidR="00D22DF6" w:rsidRPr="00F90DD6" w:rsidRDefault="00D22DF6" w:rsidP="00D22DF6">
            <w:pPr>
              <w:pStyle w:val="Tabletext"/>
              <w:jc w:val="center"/>
            </w:pPr>
            <w:r w:rsidRPr="00EE55CA">
              <w:t>60-79</w:t>
            </w:r>
          </w:p>
        </w:tc>
      </w:tr>
      <w:tr w:rsidR="00D22DF6" w:rsidRPr="00007C56" w14:paraId="2CC90CD2" w14:textId="77777777" w:rsidTr="00F909EF">
        <w:trPr>
          <w:trHeight w:val="300"/>
        </w:trPr>
        <w:tc>
          <w:tcPr>
            <w:tcW w:w="940" w:type="dxa"/>
            <w:vMerge/>
            <w:tcBorders>
              <w:top w:val="nil"/>
              <w:left w:val="single" w:sz="4" w:space="0" w:color="auto"/>
              <w:bottom w:val="single" w:sz="4" w:space="0" w:color="auto"/>
              <w:right w:val="single" w:sz="4" w:space="0" w:color="auto"/>
            </w:tcBorders>
            <w:vAlign w:val="center"/>
            <w:hideMark/>
          </w:tcPr>
          <w:p w14:paraId="4C969631" w14:textId="77777777" w:rsidR="00D22DF6" w:rsidRPr="00007C56" w:rsidRDefault="00D22DF6" w:rsidP="00B70F04">
            <w:pPr>
              <w:pStyle w:val="Tabletext"/>
            </w:pPr>
          </w:p>
        </w:tc>
        <w:tc>
          <w:tcPr>
            <w:tcW w:w="1855" w:type="dxa"/>
            <w:vMerge w:val="restart"/>
            <w:tcBorders>
              <w:top w:val="nil"/>
              <w:left w:val="single" w:sz="4" w:space="0" w:color="auto"/>
              <w:bottom w:val="single" w:sz="4" w:space="0" w:color="auto"/>
              <w:right w:val="single" w:sz="4" w:space="0" w:color="auto"/>
            </w:tcBorders>
            <w:shd w:val="clear" w:color="auto" w:fill="auto"/>
            <w:vAlign w:val="center"/>
            <w:hideMark/>
          </w:tcPr>
          <w:p w14:paraId="480CAB38" w14:textId="77777777" w:rsidR="00D22DF6" w:rsidRPr="00007C56" w:rsidRDefault="00D22DF6" w:rsidP="00B70F04">
            <w:pPr>
              <w:pStyle w:val="Tabletext"/>
            </w:pPr>
            <w:r w:rsidRPr="00007C56">
              <w:t>ETP species</w:t>
            </w:r>
          </w:p>
        </w:tc>
        <w:tc>
          <w:tcPr>
            <w:tcW w:w="622" w:type="dxa"/>
            <w:tcBorders>
              <w:top w:val="nil"/>
              <w:left w:val="nil"/>
              <w:bottom w:val="single" w:sz="4" w:space="0" w:color="auto"/>
              <w:right w:val="single" w:sz="4" w:space="0" w:color="auto"/>
            </w:tcBorders>
            <w:shd w:val="clear" w:color="auto" w:fill="auto"/>
            <w:vAlign w:val="center"/>
            <w:hideMark/>
          </w:tcPr>
          <w:p w14:paraId="29115FE2" w14:textId="77777777" w:rsidR="00D22DF6" w:rsidRPr="00007C56" w:rsidRDefault="00D22DF6" w:rsidP="00B70F04">
            <w:pPr>
              <w:pStyle w:val="Tabletext"/>
            </w:pPr>
            <w:r w:rsidRPr="00007C56">
              <w:t>2.3.1</w:t>
            </w:r>
          </w:p>
        </w:tc>
        <w:tc>
          <w:tcPr>
            <w:tcW w:w="3438" w:type="dxa"/>
            <w:tcBorders>
              <w:top w:val="nil"/>
              <w:left w:val="nil"/>
              <w:bottom w:val="single" w:sz="4" w:space="0" w:color="auto"/>
              <w:right w:val="single" w:sz="4" w:space="0" w:color="auto"/>
            </w:tcBorders>
            <w:shd w:val="clear" w:color="auto" w:fill="auto"/>
            <w:vAlign w:val="center"/>
            <w:hideMark/>
          </w:tcPr>
          <w:p w14:paraId="1A982118" w14:textId="77777777" w:rsidR="00D22DF6" w:rsidRPr="00007C56" w:rsidRDefault="00D22DF6" w:rsidP="00B70F04">
            <w:pPr>
              <w:pStyle w:val="Tabletext"/>
            </w:pPr>
            <w:r w:rsidRPr="00007C56">
              <w:t>Outcome</w:t>
            </w:r>
          </w:p>
        </w:tc>
        <w:tc>
          <w:tcPr>
            <w:tcW w:w="1485" w:type="dxa"/>
            <w:tcBorders>
              <w:top w:val="nil"/>
              <w:left w:val="nil"/>
              <w:bottom w:val="single" w:sz="4" w:space="0" w:color="auto"/>
              <w:right w:val="single" w:sz="4" w:space="0" w:color="auto"/>
            </w:tcBorders>
            <w:shd w:val="clear" w:color="auto" w:fill="FABF8F" w:themeFill="accent6" w:themeFillTint="99"/>
          </w:tcPr>
          <w:p w14:paraId="593A4DD7" w14:textId="63F15D21" w:rsidR="00D22DF6" w:rsidRPr="00F90DD6" w:rsidRDefault="00D22DF6" w:rsidP="00D22DF6">
            <w:pPr>
              <w:pStyle w:val="Tabletext"/>
              <w:jc w:val="center"/>
            </w:pPr>
            <w:r w:rsidRPr="00EE55CA">
              <w:t>60-79</w:t>
            </w:r>
          </w:p>
        </w:tc>
      </w:tr>
      <w:tr w:rsidR="00D22DF6" w:rsidRPr="00007C56" w14:paraId="711A7DBD" w14:textId="77777777" w:rsidTr="00F909EF">
        <w:trPr>
          <w:trHeight w:val="300"/>
        </w:trPr>
        <w:tc>
          <w:tcPr>
            <w:tcW w:w="940" w:type="dxa"/>
            <w:vMerge/>
            <w:tcBorders>
              <w:top w:val="nil"/>
              <w:left w:val="single" w:sz="4" w:space="0" w:color="auto"/>
              <w:bottom w:val="single" w:sz="4" w:space="0" w:color="auto"/>
              <w:right w:val="single" w:sz="4" w:space="0" w:color="auto"/>
            </w:tcBorders>
            <w:vAlign w:val="center"/>
            <w:hideMark/>
          </w:tcPr>
          <w:p w14:paraId="37FD945B" w14:textId="77777777" w:rsidR="00D22DF6" w:rsidRPr="00007C56" w:rsidRDefault="00D22DF6" w:rsidP="00B70F04">
            <w:pPr>
              <w:pStyle w:val="Tabletext"/>
            </w:pPr>
          </w:p>
        </w:tc>
        <w:tc>
          <w:tcPr>
            <w:tcW w:w="1855" w:type="dxa"/>
            <w:vMerge/>
            <w:tcBorders>
              <w:top w:val="nil"/>
              <w:left w:val="single" w:sz="4" w:space="0" w:color="auto"/>
              <w:bottom w:val="single" w:sz="4" w:space="0" w:color="auto"/>
              <w:right w:val="single" w:sz="4" w:space="0" w:color="auto"/>
            </w:tcBorders>
            <w:vAlign w:val="center"/>
            <w:hideMark/>
          </w:tcPr>
          <w:p w14:paraId="16312627" w14:textId="77777777" w:rsidR="00D22DF6" w:rsidRPr="00007C56" w:rsidRDefault="00D22DF6" w:rsidP="00B70F04">
            <w:pPr>
              <w:pStyle w:val="Tabletext"/>
            </w:pPr>
          </w:p>
        </w:tc>
        <w:tc>
          <w:tcPr>
            <w:tcW w:w="622" w:type="dxa"/>
            <w:tcBorders>
              <w:top w:val="nil"/>
              <w:left w:val="nil"/>
              <w:bottom w:val="single" w:sz="4" w:space="0" w:color="auto"/>
              <w:right w:val="single" w:sz="4" w:space="0" w:color="auto"/>
            </w:tcBorders>
            <w:shd w:val="clear" w:color="auto" w:fill="auto"/>
            <w:vAlign w:val="center"/>
            <w:hideMark/>
          </w:tcPr>
          <w:p w14:paraId="76915765" w14:textId="77777777" w:rsidR="00D22DF6" w:rsidRPr="00007C56" w:rsidRDefault="00D22DF6" w:rsidP="00B70F04">
            <w:pPr>
              <w:pStyle w:val="Tabletext"/>
            </w:pPr>
            <w:r w:rsidRPr="00007C56">
              <w:t>2.3.2</w:t>
            </w:r>
          </w:p>
        </w:tc>
        <w:tc>
          <w:tcPr>
            <w:tcW w:w="3438" w:type="dxa"/>
            <w:tcBorders>
              <w:top w:val="nil"/>
              <w:left w:val="nil"/>
              <w:bottom w:val="single" w:sz="4" w:space="0" w:color="auto"/>
              <w:right w:val="single" w:sz="4" w:space="0" w:color="auto"/>
            </w:tcBorders>
            <w:shd w:val="clear" w:color="auto" w:fill="auto"/>
            <w:vAlign w:val="center"/>
            <w:hideMark/>
          </w:tcPr>
          <w:p w14:paraId="40D2A47E" w14:textId="77777777" w:rsidR="00D22DF6" w:rsidRPr="00007C56" w:rsidRDefault="00D22DF6" w:rsidP="00B70F04">
            <w:pPr>
              <w:pStyle w:val="Tabletext"/>
            </w:pPr>
            <w:r w:rsidRPr="00007C56">
              <w:t>Management</w:t>
            </w:r>
          </w:p>
        </w:tc>
        <w:tc>
          <w:tcPr>
            <w:tcW w:w="1485" w:type="dxa"/>
            <w:tcBorders>
              <w:top w:val="nil"/>
              <w:left w:val="nil"/>
              <w:bottom w:val="single" w:sz="4" w:space="0" w:color="auto"/>
              <w:right w:val="single" w:sz="4" w:space="0" w:color="auto"/>
            </w:tcBorders>
            <w:shd w:val="clear" w:color="auto" w:fill="FABF8F" w:themeFill="accent6" w:themeFillTint="99"/>
          </w:tcPr>
          <w:p w14:paraId="6BFD57B4" w14:textId="1FC79BC1" w:rsidR="00D22DF6" w:rsidRPr="00F90DD6" w:rsidRDefault="00D22DF6" w:rsidP="00D22DF6">
            <w:pPr>
              <w:pStyle w:val="Tabletext"/>
              <w:jc w:val="center"/>
            </w:pPr>
            <w:r w:rsidRPr="00E87DA6">
              <w:t>60-79</w:t>
            </w:r>
          </w:p>
        </w:tc>
      </w:tr>
      <w:tr w:rsidR="00D22DF6" w:rsidRPr="00007C56" w14:paraId="16D3792A" w14:textId="77777777" w:rsidTr="00F909EF">
        <w:trPr>
          <w:trHeight w:val="300"/>
        </w:trPr>
        <w:tc>
          <w:tcPr>
            <w:tcW w:w="940" w:type="dxa"/>
            <w:vMerge/>
            <w:tcBorders>
              <w:top w:val="nil"/>
              <w:left w:val="single" w:sz="4" w:space="0" w:color="auto"/>
              <w:bottom w:val="single" w:sz="4" w:space="0" w:color="auto"/>
              <w:right w:val="single" w:sz="4" w:space="0" w:color="auto"/>
            </w:tcBorders>
            <w:vAlign w:val="center"/>
            <w:hideMark/>
          </w:tcPr>
          <w:p w14:paraId="2056A47D" w14:textId="77777777" w:rsidR="00D22DF6" w:rsidRPr="00007C56" w:rsidRDefault="00D22DF6" w:rsidP="00B70F04">
            <w:pPr>
              <w:pStyle w:val="Tabletext"/>
            </w:pPr>
          </w:p>
        </w:tc>
        <w:tc>
          <w:tcPr>
            <w:tcW w:w="1855" w:type="dxa"/>
            <w:vMerge/>
            <w:tcBorders>
              <w:top w:val="nil"/>
              <w:left w:val="single" w:sz="4" w:space="0" w:color="auto"/>
              <w:bottom w:val="single" w:sz="4" w:space="0" w:color="auto"/>
              <w:right w:val="single" w:sz="4" w:space="0" w:color="auto"/>
            </w:tcBorders>
            <w:vAlign w:val="center"/>
            <w:hideMark/>
          </w:tcPr>
          <w:p w14:paraId="36F10762" w14:textId="77777777" w:rsidR="00D22DF6" w:rsidRPr="00007C56" w:rsidRDefault="00D22DF6" w:rsidP="00B70F04">
            <w:pPr>
              <w:pStyle w:val="Tabletext"/>
            </w:pPr>
          </w:p>
        </w:tc>
        <w:tc>
          <w:tcPr>
            <w:tcW w:w="622" w:type="dxa"/>
            <w:tcBorders>
              <w:top w:val="nil"/>
              <w:left w:val="nil"/>
              <w:bottom w:val="single" w:sz="4" w:space="0" w:color="auto"/>
              <w:right w:val="single" w:sz="4" w:space="0" w:color="auto"/>
            </w:tcBorders>
            <w:shd w:val="clear" w:color="auto" w:fill="auto"/>
            <w:vAlign w:val="center"/>
            <w:hideMark/>
          </w:tcPr>
          <w:p w14:paraId="57B50860" w14:textId="77777777" w:rsidR="00D22DF6" w:rsidRPr="00007C56" w:rsidRDefault="00D22DF6" w:rsidP="00B70F04">
            <w:pPr>
              <w:pStyle w:val="Tabletext"/>
            </w:pPr>
            <w:r w:rsidRPr="00007C56">
              <w:t>2.3.3</w:t>
            </w:r>
          </w:p>
        </w:tc>
        <w:tc>
          <w:tcPr>
            <w:tcW w:w="3438" w:type="dxa"/>
            <w:tcBorders>
              <w:top w:val="nil"/>
              <w:left w:val="nil"/>
              <w:bottom w:val="single" w:sz="4" w:space="0" w:color="auto"/>
              <w:right w:val="single" w:sz="4" w:space="0" w:color="auto"/>
            </w:tcBorders>
            <w:shd w:val="clear" w:color="auto" w:fill="auto"/>
            <w:vAlign w:val="center"/>
            <w:hideMark/>
          </w:tcPr>
          <w:p w14:paraId="570F398B" w14:textId="77777777" w:rsidR="00D22DF6" w:rsidRPr="00007C56" w:rsidRDefault="00D22DF6" w:rsidP="00B70F04">
            <w:pPr>
              <w:pStyle w:val="Tabletext"/>
            </w:pPr>
            <w:r w:rsidRPr="00007C56">
              <w:t>Information</w:t>
            </w:r>
          </w:p>
        </w:tc>
        <w:tc>
          <w:tcPr>
            <w:tcW w:w="1485" w:type="dxa"/>
            <w:tcBorders>
              <w:top w:val="nil"/>
              <w:left w:val="nil"/>
              <w:bottom w:val="single" w:sz="4" w:space="0" w:color="auto"/>
              <w:right w:val="single" w:sz="4" w:space="0" w:color="auto"/>
            </w:tcBorders>
            <w:shd w:val="clear" w:color="auto" w:fill="FABF8F" w:themeFill="accent6" w:themeFillTint="99"/>
          </w:tcPr>
          <w:p w14:paraId="7E1F6E32" w14:textId="21DDB0A9" w:rsidR="00D22DF6" w:rsidRPr="00F90DD6" w:rsidRDefault="00D22DF6" w:rsidP="00D22DF6">
            <w:pPr>
              <w:pStyle w:val="Tabletext"/>
              <w:jc w:val="center"/>
            </w:pPr>
            <w:r w:rsidRPr="00E87DA6">
              <w:t>60-79</w:t>
            </w:r>
          </w:p>
        </w:tc>
      </w:tr>
      <w:tr w:rsidR="00B70F04" w:rsidRPr="00007C56" w14:paraId="1F721238" w14:textId="77777777" w:rsidTr="00D22DF6">
        <w:trPr>
          <w:trHeight w:val="300"/>
        </w:trPr>
        <w:tc>
          <w:tcPr>
            <w:tcW w:w="940" w:type="dxa"/>
            <w:vMerge/>
            <w:tcBorders>
              <w:top w:val="nil"/>
              <w:left w:val="single" w:sz="4" w:space="0" w:color="auto"/>
              <w:bottom w:val="single" w:sz="4" w:space="0" w:color="auto"/>
              <w:right w:val="single" w:sz="4" w:space="0" w:color="auto"/>
            </w:tcBorders>
            <w:vAlign w:val="center"/>
            <w:hideMark/>
          </w:tcPr>
          <w:p w14:paraId="49DC039E" w14:textId="77777777" w:rsidR="00B70F04" w:rsidRPr="00007C56" w:rsidRDefault="00B70F04" w:rsidP="00B70F04">
            <w:pPr>
              <w:pStyle w:val="Tabletext"/>
            </w:pPr>
          </w:p>
        </w:tc>
        <w:tc>
          <w:tcPr>
            <w:tcW w:w="1855" w:type="dxa"/>
            <w:vMerge w:val="restart"/>
            <w:tcBorders>
              <w:top w:val="nil"/>
              <w:left w:val="single" w:sz="4" w:space="0" w:color="auto"/>
              <w:bottom w:val="single" w:sz="4" w:space="0" w:color="auto"/>
              <w:right w:val="single" w:sz="4" w:space="0" w:color="auto"/>
            </w:tcBorders>
            <w:shd w:val="clear" w:color="auto" w:fill="auto"/>
            <w:vAlign w:val="center"/>
            <w:hideMark/>
          </w:tcPr>
          <w:p w14:paraId="1883A98E" w14:textId="77777777" w:rsidR="00B70F04" w:rsidRPr="00007C56" w:rsidRDefault="00B70F04" w:rsidP="00B70F04">
            <w:pPr>
              <w:pStyle w:val="Tabletext"/>
            </w:pPr>
            <w:r w:rsidRPr="00007C56">
              <w:t>Habitats</w:t>
            </w:r>
          </w:p>
        </w:tc>
        <w:tc>
          <w:tcPr>
            <w:tcW w:w="622" w:type="dxa"/>
            <w:tcBorders>
              <w:top w:val="nil"/>
              <w:left w:val="nil"/>
              <w:bottom w:val="single" w:sz="4" w:space="0" w:color="auto"/>
              <w:right w:val="single" w:sz="4" w:space="0" w:color="auto"/>
            </w:tcBorders>
            <w:shd w:val="clear" w:color="auto" w:fill="auto"/>
            <w:vAlign w:val="center"/>
            <w:hideMark/>
          </w:tcPr>
          <w:p w14:paraId="0E0C684F" w14:textId="77777777" w:rsidR="00B70F04" w:rsidRPr="00007C56" w:rsidRDefault="00B70F04" w:rsidP="00B70F04">
            <w:pPr>
              <w:pStyle w:val="Tabletext"/>
            </w:pPr>
            <w:r w:rsidRPr="00007C56">
              <w:t>2.4.1</w:t>
            </w:r>
          </w:p>
        </w:tc>
        <w:tc>
          <w:tcPr>
            <w:tcW w:w="3438" w:type="dxa"/>
            <w:tcBorders>
              <w:top w:val="nil"/>
              <w:left w:val="nil"/>
              <w:bottom w:val="single" w:sz="4" w:space="0" w:color="auto"/>
              <w:right w:val="single" w:sz="4" w:space="0" w:color="auto"/>
            </w:tcBorders>
            <w:shd w:val="clear" w:color="auto" w:fill="auto"/>
            <w:vAlign w:val="center"/>
            <w:hideMark/>
          </w:tcPr>
          <w:p w14:paraId="0D0A4943" w14:textId="77777777" w:rsidR="00B70F04" w:rsidRPr="00007C56" w:rsidRDefault="00B70F04" w:rsidP="00B70F04">
            <w:pPr>
              <w:pStyle w:val="Tabletext"/>
            </w:pPr>
            <w:r w:rsidRPr="00007C56">
              <w:t>Outcome</w:t>
            </w:r>
          </w:p>
        </w:tc>
        <w:tc>
          <w:tcPr>
            <w:tcW w:w="1485" w:type="dxa"/>
            <w:tcBorders>
              <w:top w:val="nil"/>
              <w:left w:val="nil"/>
              <w:bottom w:val="single" w:sz="4" w:space="0" w:color="auto"/>
              <w:right w:val="single" w:sz="4" w:space="0" w:color="auto"/>
            </w:tcBorders>
            <w:shd w:val="clear" w:color="auto" w:fill="C2D69B" w:themeFill="accent3" w:themeFillTint="99"/>
            <w:vAlign w:val="center"/>
          </w:tcPr>
          <w:p w14:paraId="5EA94968" w14:textId="7DEF4861" w:rsidR="00B70F04" w:rsidRPr="00F90DD6" w:rsidRDefault="00D22DF6" w:rsidP="00D22DF6">
            <w:pPr>
              <w:pStyle w:val="Tabletext"/>
              <w:jc w:val="center"/>
            </w:pPr>
            <w:r w:rsidRPr="00DA4A8C">
              <w:rPr>
                <w:rFonts w:cs="Arial"/>
                <w:color w:val="000000"/>
                <w:lang w:eastAsia="en-GB"/>
              </w:rPr>
              <w:t>≥80</w:t>
            </w:r>
          </w:p>
        </w:tc>
      </w:tr>
      <w:tr w:rsidR="00D22DF6" w:rsidRPr="00007C56" w14:paraId="769B02AC" w14:textId="77777777" w:rsidTr="00D22DF6">
        <w:trPr>
          <w:trHeight w:val="300"/>
        </w:trPr>
        <w:tc>
          <w:tcPr>
            <w:tcW w:w="940" w:type="dxa"/>
            <w:vMerge/>
            <w:tcBorders>
              <w:top w:val="nil"/>
              <w:left w:val="single" w:sz="4" w:space="0" w:color="auto"/>
              <w:bottom w:val="single" w:sz="4" w:space="0" w:color="auto"/>
              <w:right w:val="single" w:sz="4" w:space="0" w:color="auto"/>
            </w:tcBorders>
            <w:vAlign w:val="center"/>
            <w:hideMark/>
          </w:tcPr>
          <w:p w14:paraId="7631B659" w14:textId="77777777" w:rsidR="00D22DF6" w:rsidRPr="00007C56" w:rsidRDefault="00D22DF6" w:rsidP="00B70F04">
            <w:pPr>
              <w:pStyle w:val="Tabletext"/>
            </w:pPr>
          </w:p>
        </w:tc>
        <w:tc>
          <w:tcPr>
            <w:tcW w:w="1855" w:type="dxa"/>
            <w:vMerge/>
            <w:tcBorders>
              <w:top w:val="nil"/>
              <w:left w:val="single" w:sz="4" w:space="0" w:color="auto"/>
              <w:bottom w:val="single" w:sz="4" w:space="0" w:color="auto"/>
              <w:right w:val="single" w:sz="4" w:space="0" w:color="auto"/>
            </w:tcBorders>
            <w:vAlign w:val="center"/>
            <w:hideMark/>
          </w:tcPr>
          <w:p w14:paraId="6C2D6386" w14:textId="77777777" w:rsidR="00D22DF6" w:rsidRPr="00007C56" w:rsidRDefault="00D22DF6" w:rsidP="00B70F04">
            <w:pPr>
              <w:pStyle w:val="Tabletext"/>
            </w:pPr>
          </w:p>
        </w:tc>
        <w:tc>
          <w:tcPr>
            <w:tcW w:w="622" w:type="dxa"/>
            <w:tcBorders>
              <w:top w:val="nil"/>
              <w:left w:val="nil"/>
              <w:bottom w:val="single" w:sz="4" w:space="0" w:color="auto"/>
              <w:right w:val="single" w:sz="4" w:space="0" w:color="auto"/>
            </w:tcBorders>
            <w:shd w:val="clear" w:color="auto" w:fill="auto"/>
            <w:vAlign w:val="center"/>
            <w:hideMark/>
          </w:tcPr>
          <w:p w14:paraId="244FFACD" w14:textId="77777777" w:rsidR="00D22DF6" w:rsidRPr="00007C56" w:rsidRDefault="00D22DF6" w:rsidP="00B70F04">
            <w:pPr>
              <w:pStyle w:val="Tabletext"/>
            </w:pPr>
            <w:r w:rsidRPr="00007C56">
              <w:t>2.4.2</w:t>
            </w:r>
          </w:p>
        </w:tc>
        <w:tc>
          <w:tcPr>
            <w:tcW w:w="3438" w:type="dxa"/>
            <w:tcBorders>
              <w:top w:val="nil"/>
              <w:left w:val="nil"/>
              <w:bottom w:val="single" w:sz="4" w:space="0" w:color="auto"/>
              <w:right w:val="single" w:sz="4" w:space="0" w:color="auto"/>
            </w:tcBorders>
            <w:shd w:val="clear" w:color="auto" w:fill="auto"/>
            <w:vAlign w:val="center"/>
            <w:hideMark/>
          </w:tcPr>
          <w:p w14:paraId="2B554C56" w14:textId="77777777" w:rsidR="00D22DF6" w:rsidRPr="00007C56" w:rsidRDefault="00D22DF6" w:rsidP="00B70F04">
            <w:pPr>
              <w:pStyle w:val="Tabletext"/>
            </w:pPr>
            <w:r w:rsidRPr="00007C56">
              <w:t>Management</w:t>
            </w:r>
          </w:p>
        </w:tc>
        <w:tc>
          <w:tcPr>
            <w:tcW w:w="1485" w:type="dxa"/>
            <w:tcBorders>
              <w:top w:val="nil"/>
              <w:left w:val="nil"/>
              <w:bottom w:val="single" w:sz="4" w:space="0" w:color="auto"/>
              <w:right w:val="single" w:sz="4" w:space="0" w:color="auto"/>
            </w:tcBorders>
            <w:shd w:val="clear" w:color="auto" w:fill="C2D69B" w:themeFill="accent3" w:themeFillTint="99"/>
          </w:tcPr>
          <w:p w14:paraId="025E4C1F" w14:textId="534A064A" w:rsidR="00D22DF6" w:rsidRPr="00F90DD6" w:rsidRDefault="00D22DF6" w:rsidP="00D22DF6">
            <w:pPr>
              <w:pStyle w:val="Tabletext"/>
              <w:jc w:val="center"/>
            </w:pPr>
            <w:r w:rsidRPr="00DD74A0">
              <w:rPr>
                <w:rFonts w:cs="Arial"/>
                <w:color w:val="000000"/>
                <w:lang w:eastAsia="en-GB"/>
              </w:rPr>
              <w:t>≥80</w:t>
            </w:r>
          </w:p>
        </w:tc>
      </w:tr>
      <w:tr w:rsidR="00D22DF6" w:rsidRPr="00007C56" w14:paraId="50963915" w14:textId="77777777" w:rsidTr="00D22DF6">
        <w:trPr>
          <w:trHeight w:val="300"/>
        </w:trPr>
        <w:tc>
          <w:tcPr>
            <w:tcW w:w="940" w:type="dxa"/>
            <w:vMerge/>
            <w:tcBorders>
              <w:top w:val="nil"/>
              <w:left w:val="single" w:sz="4" w:space="0" w:color="auto"/>
              <w:bottom w:val="single" w:sz="4" w:space="0" w:color="auto"/>
              <w:right w:val="single" w:sz="4" w:space="0" w:color="auto"/>
            </w:tcBorders>
            <w:vAlign w:val="center"/>
            <w:hideMark/>
          </w:tcPr>
          <w:p w14:paraId="33C27048" w14:textId="77777777" w:rsidR="00D22DF6" w:rsidRPr="00007C56" w:rsidRDefault="00D22DF6" w:rsidP="00B70F04">
            <w:pPr>
              <w:spacing w:after="0"/>
              <w:jc w:val="left"/>
              <w:rPr>
                <w:rFonts w:ascii="Calibri" w:hAnsi="Calibri"/>
                <w:color w:val="000000"/>
                <w:sz w:val="20"/>
                <w:szCs w:val="20"/>
              </w:rPr>
            </w:pPr>
          </w:p>
        </w:tc>
        <w:tc>
          <w:tcPr>
            <w:tcW w:w="1855" w:type="dxa"/>
            <w:vMerge/>
            <w:tcBorders>
              <w:top w:val="nil"/>
              <w:left w:val="single" w:sz="4" w:space="0" w:color="auto"/>
              <w:bottom w:val="single" w:sz="4" w:space="0" w:color="auto"/>
              <w:right w:val="single" w:sz="4" w:space="0" w:color="auto"/>
            </w:tcBorders>
            <w:vAlign w:val="center"/>
            <w:hideMark/>
          </w:tcPr>
          <w:p w14:paraId="455A4502" w14:textId="77777777" w:rsidR="00D22DF6" w:rsidRPr="00007C56" w:rsidRDefault="00D22DF6" w:rsidP="00B70F04">
            <w:pPr>
              <w:pStyle w:val="Tabletext"/>
              <w:rPr>
                <w:rFonts w:ascii="Calibri" w:hAnsi="Calibri"/>
                <w:color w:val="000000"/>
                <w:szCs w:val="20"/>
              </w:rPr>
            </w:pPr>
          </w:p>
        </w:tc>
        <w:tc>
          <w:tcPr>
            <w:tcW w:w="622" w:type="dxa"/>
            <w:tcBorders>
              <w:top w:val="nil"/>
              <w:left w:val="nil"/>
              <w:bottom w:val="single" w:sz="4" w:space="0" w:color="auto"/>
              <w:right w:val="single" w:sz="4" w:space="0" w:color="auto"/>
            </w:tcBorders>
            <w:shd w:val="clear" w:color="auto" w:fill="auto"/>
            <w:vAlign w:val="center"/>
            <w:hideMark/>
          </w:tcPr>
          <w:p w14:paraId="3316492D" w14:textId="77777777" w:rsidR="00D22DF6" w:rsidRPr="00007C56" w:rsidRDefault="00D22DF6" w:rsidP="00B70F04">
            <w:pPr>
              <w:pStyle w:val="Tabletext"/>
              <w:rPr>
                <w:rFonts w:ascii="Calibri" w:hAnsi="Calibri"/>
                <w:color w:val="000000"/>
                <w:szCs w:val="20"/>
              </w:rPr>
            </w:pPr>
            <w:r w:rsidRPr="00007C56">
              <w:rPr>
                <w:rFonts w:ascii="Calibri" w:hAnsi="Calibri"/>
                <w:color w:val="000000"/>
                <w:szCs w:val="20"/>
              </w:rPr>
              <w:t>2.4.3</w:t>
            </w:r>
          </w:p>
        </w:tc>
        <w:tc>
          <w:tcPr>
            <w:tcW w:w="3438" w:type="dxa"/>
            <w:tcBorders>
              <w:top w:val="nil"/>
              <w:left w:val="nil"/>
              <w:bottom w:val="single" w:sz="4" w:space="0" w:color="auto"/>
              <w:right w:val="single" w:sz="4" w:space="0" w:color="auto"/>
            </w:tcBorders>
            <w:shd w:val="clear" w:color="auto" w:fill="auto"/>
            <w:vAlign w:val="center"/>
            <w:hideMark/>
          </w:tcPr>
          <w:p w14:paraId="790208F4" w14:textId="77777777" w:rsidR="00D22DF6" w:rsidRPr="00007C56" w:rsidRDefault="00D22DF6" w:rsidP="00B70F04">
            <w:pPr>
              <w:pStyle w:val="Tabletext"/>
              <w:rPr>
                <w:rFonts w:ascii="Calibri" w:hAnsi="Calibri"/>
                <w:color w:val="000000"/>
                <w:szCs w:val="20"/>
              </w:rPr>
            </w:pPr>
            <w:r w:rsidRPr="00007C56">
              <w:rPr>
                <w:rFonts w:ascii="Calibri" w:hAnsi="Calibri"/>
                <w:color w:val="000000"/>
                <w:szCs w:val="20"/>
              </w:rPr>
              <w:t>Information</w:t>
            </w:r>
          </w:p>
        </w:tc>
        <w:tc>
          <w:tcPr>
            <w:tcW w:w="1485" w:type="dxa"/>
            <w:tcBorders>
              <w:top w:val="nil"/>
              <w:left w:val="nil"/>
              <w:bottom w:val="single" w:sz="4" w:space="0" w:color="auto"/>
              <w:right w:val="single" w:sz="4" w:space="0" w:color="auto"/>
            </w:tcBorders>
            <w:shd w:val="clear" w:color="auto" w:fill="C2D69B" w:themeFill="accent3" w:themeFillTint="99"/>
          </w:tcPr>
          <w:p w14:paraId="5E1E6F07" w14:textId="0629EF55" w:rsidR="00D22DF6" w:rsidRPr="00007C56" w:rsidRDefault="00D22DF6" w:rsidP="00D22DF6">
            <w:pPr>
              <w:pStyle w:val="Tabletext"/>
              <w:jc w:val="center"/>
              <w:rPr>
                <w:rFonts w:ascii="Calibri" w:hAnsi="Calibri"/>
                <w:color w:val="000000"/>
                <w:szCs w:val="20"/>
              </w:rPr>
            </w:pPr>
            <w:r w:rsidRPr="00DD74A0">
              <w:rPr>
                <w:rFonts w:cs="Arial"/>
                <w:color w:val="000000"/>
                <w:lang w:eastAsia="en-GB"/>
              </w:rPr>
              <w:t>≥80</w:t>
            </w:r>
          </w:p>
        </w:tc>
      </w:tr>
      <w:tr w:rsidR="00B70F04" w:rsidRPr="00007C56" w14:paraId="14B54233" w14:textId="77777777" w:rsidTr="006E662D">
        <w:trPr>
          <w:trHeight w:val="300"/>
        </w:trPr>
        <w:tc>
          <w:tcPr>
            <w:tcW w:w="940" w:type="dxa"/>
            <w:vMerge/>
            <w:tcBorders>
              <w:top w:val="nil"/>
              <w:left w:val="single" w:sz="4" w:space="0" w:color="auto"/>
              <w:bottom w:val="single" w:sz="4" w:space="0" w:color="auto"/>
              <w:right w:val="single" w:sz="4" w:space="0" w:color="auto"/>
            </w:tcBorders>
            <w:vAlign w:val="center"/>
            <w:hideMark/>
          </w:tcPr>
          <w:p w14:paraId="2E18B6CB" w14:textId="77777777" w:rsidR="00B70F04" w:rsidRPr="00007C56" w:rsidRDefault="00B70F04" w:rsidP="00B70F04">
            <w:pPr>
              <w:spacing w:after="0"/>
              <w:jc w:val="left"/>
              <w:rPr>
                <w:rFonts w:ascii="Calibri" w:hAnsi="Calibri"/>
                <w:color w:val="000000"/>
                <w:sz w:val="20"/>
                <w:szCs w:val="20"/>
              </w:rPr>
            </w:pPr>
          </w:p>
        </w:tc>
        <w:tc>
          <w:tcPr>
            <w:tcW w:w="1855" w:type="dxa"/>
            <w:vMerge w:val="restart"/>
            <w:tcBorders>
              <w:top w:val="nil"/>
              <w:left w:val="single" w:sz="4" w:space="0" w:color="auto"/>
              <w:bottom w:val="single" w:sz="4" w:space="0" w:color="auto"/>
              <w:right w:val="single" w:sz="4" w:space="0" w:color="auto"/>
            </w:tcBorders>
            <w:shd w:val="clear" w:color="auto" w:fill="auto"/>
            <w:vAlign w:val="center"/>
            <w:hideMark/>
          </w:tcPr>
          <w:p w14:paraId="05294D43" w14:textId="77777777" w:rsidR="00B70F04" w:rsidRPr="00007C56" w:rsidRDefault="00B70F04" w:rsidP="00B70F04">
            <w:pPr>
              <w:pStyle w:val="Tabletext"/>
              <w:rPr>
                <w:rFonts w:ascii="Calibri" w:hAnsi="Calibri"/>
                <w:color w:val="000000"/>
                <w:szCs w:val="20"/>
              </w:rPr>
            </w:pPr>
            <w:r w:rsidRPr="00007C56">
              <w:rPr>
                <w:rFonts w:ascii="Calibri" w:hAnsi="Calibri"/>
                <w:color w:val="000000"/>
                <w:szCs w:val="20"/>
              </w:rPr>
              <w:t>Ecosystem</w:t>
            </w:r>
          </w:p>
        </w:tc>
        <w:tc>
          <w:tcPr>
            <w:tcW w:w="622" w:type="dxa"/>
            <w:tcBorders>
              <w:top w:val="nil"/>
              <w:left w:val="nil"/>
              <w:bottom w:val="single" w:sz="4" w:space="0" w:color="auto"/>
              <w:right w:val="single" w:sz="4" w:space="0" w:color="auto"/>
            </w:tcBorders>
            <w:shd w:val="clear" w:color="auto" w:fill="auto"/>
            <w:vAlign w:val="center"/>
            <w:hideMark/>
          </w:tcPr>
          <w:p w14:paraId="1C85A9B5" w14:textId="77777777" w:rsidR="00B70F04" w:rsidRPr="00007C56" w:rsidRDefault="00B70F04" w:rsidP="00B70F04">
            <w:pPr>
              <w:pStyle w:val="Tabletext"/>
              <w:rPr>
                <w:rFonts w:ascii="Calibri" w:hAnsi="Calibri"/>
                <w:color w:val="000000"/>
                <w:szCs w:val="20"/>
              </w:rPr>
            </w:pPr>
            <w:r w:rsidRPr="00007C56">
              <w:rPr>
                <w:rFonts w:ascii="Calibri" w:hAnsi="Calibri"/>
                <w:color w:val="000000"/>
                <w:szCs w:val="20"/>
              </w:rPr>
              <w:t>2.5.1</w:t>
            </w:r>
          </w:p>
        </w:tc>
        <w:tc>
          <w:tcPr>
            <w:tcW w:w="3438" w:type="dxa"/>
            <w:tcBorders>
              <w:top w:val="nil"/>
              <w:left w:val="nil"/>
              <w:bottom w:val="single" w:sz="4" w:space="0" w:color="auto"/>
              <w:right w:val="single" w:sz="4" w:space="0" w:color="auto"/>
            </w:tcBorders>
            <w:shd w:val="clear" w:color="auto" w:fill="auto"/>
            <w:vAlign w:val="center"/>
            <w:hideMark/>
          </w:tcPr>
          <w:p w14:paraId="4ECC383B" w14:textId="77777777" w:rsidR="00B70F04" w:rsidRPr="00007C56" w:rsidRDefault="00B70F04" w:rsidP="00B70F04">
            <w:pPr>
              <w:pStyle w:val="Tabletext"/>
              <w:rPr>
                <w:rFonts w:ascii="Calibri" w:hAnsi="Calibri"/>
                <w:color w:val="000000"/>
                <w:szCs w:val="20"/>
              </w:rPr>
            </w:pPr>
            <w:r w:rsidRPr="00007C56">
              <w:rPr>
                <w:rFonts w:ascii="Calibri" w:hAnsi="Calibri"/>
                <w:color w:val="000000"/>
                <w:szCs w:val="20"/>
              </w:rPr>
              <w:t>Outcome</w:t>
            </w:r>
          </w:p>
        </w:tc>
        <w:tc>
          <w:tcPr>
            <w:tcW w:w="1485" w:type="dxa"/>
            <w:tcBorders>
              <w:top w:val="nil"/>
              <w:left w:val="nil"/>
              <w:bottom w:val="single" w:sz="4" w:space="0" w:color="auto"/>
              <w:right w:val="single" w:sz="4" w:space="0" w:color="auto"/>
            </w:tcBorders>
            <w:shd w:val="clear" w:color="auto" w:fill="C2D69B" w:themeFill="accent3" w:themeFillTint="99"/>
            <w:vAlign w:val="center"/>
          </w:tcPr>
          <w:p w14:paraId="0B96011C" w14:textId="50D50C28" w:rsidR="00B70F04" w:rsidRPr="00007C56" w:rsidRDefault="006E662D" w:rsidP="00D22DF6">
            <w:pPr>
              <w:pStyle w:val="Tabletext"/>
              <w:jc w:val="center"/>
              <w:rPr>
                <w:rFonts w:ascii="Calibri" w:hAnsi="Calibri"/>
                <w:color w:val="000000"/>
                <w:szCs w:val="20"/>
              </w:rPr>
            </w:pPr>
            <w:r w:rsidRPr="00DD74A0">
              <w:rPr>
                <w:rFonts w:cs="Arial"/>
                <w:color w:val="000000"/>
                <w:lang w:eastAsia="en-GB"/>
              </w:rPr>
              <w:t>≥80</w:t>
            </w:r>
          </w:p>
        </w:tc>
      </w:tr>
      <w:tr w:rsidR="00B70F04" w:rsidRPr="00007C56" w14:paraId="7D71C966" w14:textId="77777777" w:rsidTr="00D22DF6">
        <w:trPr>
          <w:trHeight w:val="300"/>
        </w:trPr>
        <w:tc>
          <w:tcPr>
            <w:tcW w:w="940" w:type="dxa"/>
            <w:vMerge/>
            <w:tcBorders>
              <w:top w:val="nil"/>
              <w:left w:val="single" w:sz="4" w:space="0" w:color="auto"/>
              <w:bottom w:val="single" w:sz="4" w:space="0" w:color="auto"/>
              <w:right w:val="single" w:sz="4" w:space="0" w:color="auto"/>
            </w:tcBorders>
            <w:vAlign w:val="center"/>
            <w:hideMark/>
          </w:tcPr>
          <w:p w14:paraId="08B96CC2" w14:textId="77777777" w:rsidR="00B70F04" w:rsidRPr="00007C56" w:rsidRDefault="00B70F04" w:rsidP="00B70F04">
            <w:pPr>
              <w:spacing w:after="0"/>
              <w:jc w:val="left"/>
              <w:rPr>
                <w:rFonts w:ascii="Calibri" w:hAnsi="Calibri"/>
                <w:color w:val="000000"/>
                <w:sz w:val="20"/>
                <w:szCs w:val="20"/>
              </w:rPr>
            </w:pPr>
          </w:p>
        </w:tc>
        <w:tc>
          <w:tcPr>
            <w:tcW w:w="1855" w:type="dxa"/>
            <w:vMerge/>
            <w:tcBorders>
              <w:top w:val="nil"/>
              <w:left w:val="single" w:sz="4" w:space="0" w:color="auto"/>
              <w:bottom w:val="single" w:sz="4" w:space="0" w:color="auto"/>
              <w:right w:val="single" w:sz="4" w:space="0" w:color="auto"/>
            </w:tcBorders>
            <w:vAlign w:val="center"/>
            <w:hideMark/>
          </w:tcPr>
          <w:p w14:paraId="4C8DF3DE" w14:textId="77777777" w:rsidR="00B70F04" w:rsidRPr="00007C56" w:rsidRDefault="00B70F04" w:rsidP="00B70F04">
            <w:pPr>
              <w:pStyle w:val="Tabletext"/>
              <w:rPr>
                <w:rFonts w:ascii="Calibri" w:hAnsi="Calibri"/>
                <w:color w:val="000000"/>
                <w:szCs w:val="20"/>
              </w:rPr>
            </w:pPr>
          </w:p>
        </w:tc>
        <w:tc>
          <w:tcPr>
            <w:tcW w:w="622" w:type="dxa"/>
            <w:tcBorders>
              <w:top w:val="nil"/>
              <w:left w:val="nil"/>
              <w:bottom w:val="single" w:sz="4" w:space="0" w:color="auto"/>
              <w:right w:val="single" w:sz="4" w:space="0" w:color="auto"/>
            </w:tcBorders>
            <w:shd w:val="clear" w:color="auto" w:fill="auto"/>
            <w:vAlign w:val="center"/>
            <w:hideMark/>
          </w:tcPr>
          <w:p w14:paraId="7CD1579F" w14:textId="77777777" w:rsidR="00B70F04" w:rsidRPr="00007C56" w:rsidRDefault="00B70F04" w:rsidP="00B70F04">
            <w:pPr>
              <w:pStyle w:val="Tabletext"/>
              <w:rPr>
                <w:rFonts w:ascii="Calibri" w:hAnsi="Calibri"/>
                <w:color w:val="000000"/>
                <w:szCs w:val="20"/>
              </w:rPr>
            </w:pPr>
            <w:r w:rsidRPr="00007C56">
              <w:rPr>
                <w:rFonts w:ascii="Calibri" w:hAnsi="Calibri"/>
                <w:color w:val="000000"/>
                <w:szCs w:val="20"/>
              </w:rPr>
              <w:t>2.5.2</w:t>
            </w:r>
          </w:p>
        </w:tc>
        <w:tc>
          <w:tcPr>
            <w:tcW w:w="3438" w:type="dxa"/>
            <w:tcBorders>
              <w:top w:val="nil"/>
              <w:left w:val="nil"/>
              <w:bottom w:val="single" w:sz="4" w:space="0" w:color="auto"/>
              <w:right w:val="single" w:sz="4" w:space="0" w:color="auto"/>
            </w:tcBorders>
            <w:shd w:val="clear" w:color="auto" w:fill="auto"/>
            <w:vAlign w:val="center"/>
            <w:hideMark/>
          </w:tcPr>
          <w:p w14:paraId="061B7603" w14:textId="77777777" w:rsidR="00B70F04" w:rsidRPr="00007C56" w:rsidRDefault="00B70F04" w:rsidP="00B70F04">
            <w:pPr>
              <w:pStyle w:val="Tabletext"/>
              <w:rPr>
                <w:rFonts w:ascii="Calibri" w:hAnsi="Calibri"/>
                <w:color w:val="000000"/>
                <w:szCs w:val="20"/>
              </w:rPr>
            </w:pPr>
            <w:r w:rsidRPr="00007C56">
              <w:rPr>
                <w:rFonts w:ascii="Calibri" w:hAnsi="Calibri"/>
                <w:color w:val="000000"/>
                <w:szCs w:val="20"/>
              </w:rPr>
              <w:t>Management</w:t>
            </w:r>
          </w:p>
        </w:tc>
        <w:tc>
          <w:tcPr>
            <w:tcW w:w="1485" w:type="dxa"/>
            <w:tcBorders>
              <w:top w:val="nil"/>
              <w:left w:val="nil"/>
              <w:bottom w:val="single" w:sz="4" w:space="0" w:color="auto"/>
              <w:right w:val="single" w:sz="4" w:space="0" w:color="auto"/>
            </w:tcBorders>
            <w:shd w:val="clear" w:color="auto" w:fill="C2D69B" w:themeFill="accent3" w:themeFillTint="99"/>
            <w:vAlign w:val="center"/>
          </w:tcPr>
          <w:p w14:paraId="668AFF52" w14:textId="0BF9762A" w:rsidR="00B70F04" w:rsidRPr="00007C56" w:rsidRDefault="00D22DF6" w:rsidP="00D22DF6">
            <w:pPr>
              <w:pStyle w:val="Tabletext"/>
              <w:jc w:val="center"/>
              <w:rPr>
                <w:rFonts w:ascii="Calibri" w:hAnsi="Calibri"/>
                <w:color w:val="000000"/>
                <w:szCs w:val="20"/>
              </w:rPr>
            </w:pPr>
            <w:r w:rsidRPr="00DD74A0">
              <w:rPr>
                <w:rFonts w:cs="Arial"/>
                <w:color w:val="000000"/>
                <w:lang w:eastAsia="en-GB"/>
              </w:rPr>
              <w:t>≥80</w:t>
            </w:r>
          </w:p>
        </w:tc>
      </w:tr>
      <w:tr w:rsidR="00B70F04" w:rsidRPr="00007C56" w14:paraId="2B97DB0E" w14:textId="77777777" w:rsidTr="00D22DF6">
        <w:trPr>
          <w:trHeight w:val="300"/>
        </w:trPr>
        <w:tc>
          <w:tcPr>
            <w:tcW w:w="940" w:type="dxa"/>
            <w:vMerge/>
            <w:tcBorders>
              <w:top w:val="nil"/>
              <w:left w:val="single" w:sz="4" w:space="0" w:color="auto"/>
              <w:bottom w:val="single" w:sz="4" w:space="0" w:color="auto"/>
              <w:right w:val="single" w:sz="4" w:space="0" w:color="auto"/>
            </w:tcBorders>
            <w:vAlign w:val="center"/>
            <w:hideMark/>
          </w:tcPr>
          <w:p w14:paraId="11483B61" w14:textId="77777777" w:rsidR="00B70F04" w:rsidRPr="00007C56" w:rsidRDefault="00B70F04" w:rsidP="00B70F04">
            <w:pPr>
              <w:spacing w:after="0"/>
              <w:jc w:val="left"/>
              <w:rPr>
                <w:rFonts w:ascii="Calibri" w:hAnsi="Calibri"/>
                <w:color w:val="000000"/>
                <w:sz w:val="20"/>
                <w:szCs w:val="20"/>
              </w:rPr>
            </w:pPr>
          </w:p>
        </w:tc>
        <w:tc>
          <w:tcPr>
            <w:tcW w:w="1855" w:type="dxa"/>
            <w:vMerge/>
            <w:tcBorders>
              <w:top w:val="nil"/>
              <w:left w:val="single" w:sz="4" w:space="0" w:color="auto"/>
              <w:bottom w:val="single" w:sz="4" w:space="0" w:color="auto"/>
              <w:right w:val="single" w:sz="4" w:space="0" w:color="auto"/>
            </w:tcBorders>
            <w:vAlign w:val="center"/>
            <w:hideMark/>
          </w:tcPr>
          <w:p w14:paraId="1B1AAC51" w14:textId="77777777" w:rsidR="00B70F04" w:rsidRPr="00007C56" w:rsidRDefault="00B70F04" w:rsidP="00B70F04">
            <w:pPr>
              <w:pStyle w:val="Tabletext"/>
              <w:rPr>
                <w:rFonts w:ascii="Calibri" w:hAnsi="Calibri"/>
                <w:color w:val="000000"/>
                <w:szCs w:val="20"/>
              </w:rPr>
            </w:pPr>
          </w:p>
        </w:tc>
        <w:tc>
          <w:tcPr>
            <w:tcW w:w="622" w:type="dxa"/>
            <w:tcBorders>
              <w:top w:val="nil"/>
              <w:left w:val="nil"/>
              <w:bottom w:val="single" w:sz="4" w:space="0" w:color="auto"/>
              <w:right w:val="single" w:sz="4" w:space="0" w:color="auto"/>
            </w:tcBorders>
            <w:shd w:val="clear" w:color="auto" w:fill="auto"/>
            <w:vAlign w:val="center"/>
            <w:hideMark/>
          </w:tcPr>
          <w:p w14:paraId="69515C1E" w14:textId="77777777" w:rsidR="00B70F04" w:rsidRPr="00007C56" w:rsidRDefault="00B70F04" w:rsidP="00B70F04">
            <w:pPr>
              <w:pStyle w:val="Tabletext"/>
              <w:rPr>
                <w:rFonts w:ascii="Calibri" w:hAnsi="Calibri"/>
                <w:color w:val="000000"/>
                <w:szCs w:val="20"/>
              </w:rPr>
            </w:pPr>
            <w:r w:rsidRPr="00007C56">
              <w:rPr>
                <w:rFonts w:ascii="Calibri" w:hAnsi="Calibri"/>
                <w:color w:val="000000"/>
                <w:szCs w:val="20"/>
              </w:rPr>
              <w:t>2.5.3</w:t>
            </w:r>
          </w:p>
        </w:tc>
        <w:tc>
          <w:tcPr>
            <w:tcW w:w="3438" w:type="dxa"/>
            <w:tcBorders>
              <w:top w:val="nil"/>
              <w:left w:val="nil"/>
              <w:bottom w:val="single" w:sz="4" w:space="0" w:color="auto"/>
              <w:right w:val="single" w:sz="4" w:space="0" w:color="auto"/>
            </w:tcBorders>
            <w:shd w:val="clear" w:color="auto" w:fill="auto"/>
            <w:vAlign w:val="center"/>
            <w:hideMark/>
          </w:tcPr>
          <w:p w14:paraId="7147C9AE" w14:textId="77777777" w:rsidR="00B70F04" w:rsidRPr="00007C56" w:rsidRDefault="00B70F04" w:rsidP="00B70F04">
            <w:pPr>
              <w:pStyle w:val="Tabletext"/>
              <w:rPr>
                <w:rFonts w:ascii="Calibri" w:hAnsi="Calibri"/>
                <w:color w:val="000000"/>
                <w:szCs w:val="20"/>
              </w:rPr>
            </w:pPr>
            <w:r w:rsidRPr="00007C56">
              <w:rPr>
                <w:rFonts w:ascii="Calibri" w:hAnsi="Calibri"/>
                <w:color w:val="000000"/>
                <w:szCs w:val="20"/>
              </w:rPr>
              <w:t>Information</w:t>
            </w:r>
          </w:p>
        </w:tc>
        <w:tc>
          <w:tcPr>
            <w:tcW w:w="1485" w:type="dxa"/>
            <w:tcBorders>
              <w:top w:val="nil"/>
              <w:left w:val="nil"/>
              <w:bottom w:val="single" w:sz="4" w:space="0" w:color="auto"/>
              <w:right w:val="single" w:sz="4" w:space="0" w:color="auto"/>
            </w:tcBorders>
            <w:shd w:val="clear" w:color="auto" w:fill="C2D69B" w:themeFill="accent3" w:themeFillTint="99"/>
            <w:vAlign w:val="center"/>
          </w:tcPr>
          <w:p w14:paraId="6A110FCB" w14:textId="7C36E8A5" w:rsidR="00B70F04" w:rsidRPr="00007C56" w:rsidRDefault="00D22DF6" w:rsidP="00D22DF6">
            <w:pPr>
              <w:pStyle w:val="Tabletext"/>
              <w:jc w:val="center"/>
              <w:rPr>
                <w:rFonts w:ascii="Calibri" w:hAnsi="Calibri"/>
                <w:color w:val="000000"/>
                <w:szCs w:val="20"/>
              </w:rPr>
            </w:pPr>
            <w:r w:rsidRPr="00DD74A0">
              <w:rPr>
                <w:rFonts w:cs="Arial"/>
                <w:color w:val="000000"/>
                <w:lang w:eastAsia="en-GB"/>
              </w:rPr>
              <w:t>≥80</w:t>
            </w:r>
          </w:p>
        </w:tc>
      </w:tr>
      <w:tr w:rsidR="00B70F04" w:rsidRPr="00007C56" w14:paraId="4E218626" w14:textId="77777777" w:rsidTr="00D22DF6">
        <w:trPr>
          <w:trHeight w:val="300"/>
        </w:trPr>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14:paraId="7BBB68AC" w14:textId="77777777" w:rsidR="00B70F04" w:rsidRPr="00007C56" w:rsidRDefault="00B70F04" w:rsidP="00B70F04">
            <w:pPr>
              <w:pStyle w:val="Tabletext"/>
            </w:pPr>
            <w:r w:rsidRPr="00007C56">
              <w:t>3</w:t>
            </w:r>
          </w:p>
        </w:tc>
        <w:tc>
          <w:tcPr>
            <w:tcW w:w="1855" w:type="dxa"/>
            <w:vMerge w:val="restart"/>
            <w:tcBorders>
              <w:top w:val="nil"/>
              <w:left w:val="single" w:sz="4" w:space="0" w:color="auto"/>
              <w:bottom w:val="single" w:sz="4" w:space="0" w:color="auto"/>
              <w:right w:val="single" w:sz="4" w:space="0" w:color="auto"/>
            </w:tcBorders>
            <w:shd w:val="clear" w:color="auto" w:fill="auto"/>
            <w:vAlign w:val="center"/>
            <w:hideMark/>
          </w:tcPr>
          <w:p w14:paraId="5FAB7E5A" w14:textId="77777777" w:rsidR="00B70F04" w:rsidRPr="00007C56" w:rsidRDefault="00B70F04" w:rsidP="00B70F04">
            <w:pPr>
              <w:pStyle w:val="Tabletext"/>
            </w:pPr>
            <w:r w:rsidRPr="00007C56">
              <w:t>Governance &amp; policy</w:t>
            </w:r>
          </w:p>
        </w:tc>
        <w:tc>
          <w:tcPr>
            <w:tcW w:w="622" w:type="dxa"/>
            <w:tcBorders>
              <w:top w:val="nil"/>
              <w:left w:val="nil"/>
              <w:bottom w:val="single" w:sz="4" w:space="0" w:color="auto"/>
              <w:right w:val="single" w:sz="4" w:space="0" w:color="auto"/>
            </w:tcBorders>
            <w:shd w:val="clear" w:color="auto" w:fill="auto"/>
            <w:vAlign w:val="center"/>
            <w:hideMark/>
          </w:tcPr>
          <w:p w14:paraId="511B23E0" w14:textId="77777777" w:rsidR="00B70F04" w:rsidRPr="00007C56" w:rsidRDefault="00B70F04" w:rsidP="00B70F04">
            <w:pPr>
              <w:pStyle w:val="Tabletext"/>
            </w:pPr>
            <w:r w:rsidRPr="00007C56">
              <w:t>3.1.1</w:t>
            </w:r>
          </w:p>
        </w:tc>
        <w:tc>
          <w:tcPr>
            <w:tcW w:w="3438" w:type="dxa"/>
            <w:tcBorders>
              <w:top w:val="nil"/>
              <w:left w:val="nil"/>
              <w:bottom w:val="single" w:sz="4" w:space="0" w:color="auto"/>
              <w:right w:val="single" w:sz="4" w:space="0" w:color="auto"/>
            </w:tcBorders>
            <w:shd w:val="clear" w:color="auto" w:fill="auto"/>
            <w:vAlign w:val="center"/>
            <w:hideMark/>
          </w:tcPr>
          <w:p w14:paraId="193C38C5" w14:textId="77777777" w:rsidR="00B70F04" w:rsidRPr="00007C56" w:rsidRDefault="00B70F04" w:rsidP="00B70F04">
            <w:pPr>
              <w:pStyle w:val="Tabletext"/>
            </w:pPr>
            <w:r w:rsidRPr="00007C56">
              <w:t>Legal and customary framework</w:t>
            </w:r>
          </w:p>
        </w:tc>
        <w:tc>
          <w:tcPr>
            <w:tcW w:w="1485" w:type="dxa"/>
            <w:tcBorders>
              <w:top w:val="nil"/>
              <w:left w:val="nil"/>
              <w:bottom w:val="single" w:sz="4" w:space="0" w:color="auto"/>
              <w:right w:val="single" w:sz="4" w:space="0" w:color="auto"/>
            </w:tcBorders>
            <w:shd w:val="clear" w:color="auto" w:fill="C2D69B" w:themeFill="accent3" w:themeFillTint="99"/>
            <w:vAlign w:val="center"/>
          </w:tcPr>
          <w:p w14:paraId="365AA2BA" w14:textId="420DAAC8" w:rsidR="00B70F04" w:rsidRPr="00007C56" w:rsidRDefault="00D22DF6" w:rsidP="00D22DF6">
            <w:pPr>
              <w:pStyle w:val="Tabletext"/>
              <w:jc w:val="center"/>
            </w:pPr>
            <w:r w:rsidRPr="00DD74A0">
              <w:rPr>
                <w:rFonts w:cs="Arial"/>
                <w:color w:val="000000"/>
                <w:lang w:eastAsia="en-GB"/>
              </w:rPr>
              <w:t>≥80</w:t>
            </w:r>
          </w:p>
        </w:tc>
      </w:tr>
      <w:tr w:rsidR="00B70F04" w:rsidRPr="00007C56" w14:paraId="3D13E229" w14:textId="77777777" w:rsidTr="00D22DF6">
        <w:trPr>
          <w:trHeight w:val="300"/>
        </w:trPr>
        <w:tc>
          <w:tcPr>
            <w:tcW w:w="940" w:type="dxa"/>
            <w:vMerge/>
            <w:tcBorders>
              <w:top w:val="nil"/>
              <w:left w:val="single" w:sz="4" w:space="0" w:color="auto"/>
              <w:bottom w:val="single" w:sz="4" w:space="0" w:color="auto"/>
              <w:right w:val="single" w:sz="4" w:space="0" w:color="auto"/>
            </w:tcBorders>
            <w:vAlign w:val="center"/>
            <w:hideMark/>
          </w:tcPr>
          <w:p w14:paraId="77242BB4" w14:textId="77777777" w:rsidR="00B70F04" w:rsidRPr="00007C56" w:rsidRDefault="00B70F04" w:rsidP="00B70F04">
            <w:pPr>
              <w:pStyle w:val="Tabletext"/>
            </w:pPr>
          </w:p>
        </w:tc>
        <w:tc>
          <w:tcPr>
            <w:tcW w:w="1855" w:type="dxa"/>
            <w:vMerge/>
            <w:tcBorders>
              <w:top w:val="nil"/>
              <w:left w:val="single" w:sz="4" w:space="0" w:color="auto"/>
              <w:bottom w:val="single" w:sz="4" w:space="0" w:color="auto"/>
              <w:right w:val="single" w:sz="4" w:space="0" w:color="auto"/>
            </w:tcBorders>
            <w:vAlign w:val="center"/>
            <w:hideMark/>
          </w:tcPr>
          <w:p w14:paraId="41AD98AB" w14:textId="77777777" w:rsidR="00B70F04" w:rsidRPr="00007C56" w:rsidRDefault="00B70F04" w:rsidP="00B70F04">
            <w:pPr>
              <w:pStyle w:val="Tabletext"/>
            </w:pPr>
          </w:p>
        </w:tc>
        <w:tc>
          <w:tcPr>
            <w:tcW w:w="622" w:type="dxa"/>
            <w:tcBorders>
              <w:top w:val="nil"/>
              <w:left w:val="nil"/>
              <w:bottom w:val="single" w:sz="4" w:space="0" w:color="auto"/>
              <w:right w:val="single" w:sz="4" w:space="0" w:color="auto"/>
            </w:tcBorders>
            <w:shd w:val="clear" w:color="auto" w:fill="auto"/>
            <w:vAlign w:val="center"/>
            <w:hideMark/>
          </w:tcPr>
          <w:p w14:paraId="3BC6B0C3" w14:textId="77777777" w:rsidR="00B70F04" w:rsidRPr="00007C56" w:rsidRDefault="00B70F04" w:rsidP="00B70F04">
            <w:pPr>
              <w:pStyle w:val="Tabletext"/>
            </w:pPr>
            <w:r w:rsidRPr="00007C56">
              <w:t>3.1.2</w:t>
            </w:r>
          </w:p>
        </w:tc>
        <w:tc>
          <w:tcPr>
            <w:tcW w:w="3438" w:type="dxa"/>
            <w:tcBorders>
              <w:top w:val="nil"/>
              <w:left w:val="nil"/>
              <w:bottom w:val="single" w:sz="4" w:space="0" w:color="auto"/>
              <w:right w:val="single" w:sz="4" w:space="0" w:color="auto"/>
            </w:tcBorders>
            <w:shd w:val="clear" w:color="auto" w:fill="auto"/>
            <w:vAlign w:val="center"/>
            <w:hideMark/>
          </w:tcPr>
          <w:p w14:paraId="5077FE1C" w14:textId="77777777" w:rsidR="00B70F04" w:rsidRPr="00007C56" w:rsidRDefault="00B70F04" w:rsidP="00B70F04">
            <w:pPr>
              <w:pStyle w:val="Tabletext"/>
            </w:pPr>
            <w:r w:rsidRPr="00007C56">
              <w:t>Consultation, roles and responsibilities</w:t>
            </w:r>
          </w:p>
        </w:tc>
        <w:tc>
          <w:tcPr>
            <w:tcW w:w="1485" w:type="dxa"/>
            <w:tcBorders>
              <w:top w:val="nil"/>
              <w:left w:val="nil"/>
              <w:bottom w:val="single" w:sz="4" w:space="0" w:color="auto"/>
              <w:right w:val="single" w:sz="4" w:space="0" w:color="auto"/>
            </w:tcBorders>
            <w:shd w:val="clear" w:color="auto" w:fill="C2D69B" w:themeFill="accent3" w:themeFillTint="99"/>
            <w:vAlign w:val="center"/>
          </w:tcPr>
          <w:p w14:paraId="265C46C6" w14:textId="69D849DB" w:rsidR="00B70F04" w:rsidRPr="00007C56" w:rsidRDefault="00D22DF6" w:rsidP="00D22DF6">
            <w:pPr>
              <w:pStyle w:val="Tabletext"/>
              <w:jc w:val="center"/>
            </w:pPr>
            <w:r w:rsidRPr="00DD74A0">
              <w:rPr>
                <w:rFonts w:cs="Arial"/>
                <w:color w:val="000000"/>
                <w:lang w:eastAsia="en-GB"/>
              </w:rPr>
              <w:t>≥80</w:t>
            </w:r>
          </w:p>
        </w:tc>
      </w:tr>
      <w:tr w:rsidR="00B70F04" w:rsidRPr="00007C56" w14:paraId="7E22822F" w14:textId="77777777" w:rsidTr="00D22DF6">
        <w:trPr>
          <w:trHeight w:val="300"/>
        </w:trPr>
        <w:tc>
          <w:tcPr>
            <w:tcW w:w="940" w:type="dxa"/>
            <w:vMerge/>
            <w:tcBorders>
              <w:top w:val="nil"/>
              <w:left w:val="single" w:sz="4" w:space="0" w:color="auto"/>
              <w:bottom w:val="single" w:sz="4" w:space="0" w:color="auto"/>
              <w:right w:val="single" w:sz="4" w:space="0" w:color="auto"/>
            </w:tcBorders>
            <w:vAlign w:val="center"/>
            <w:hideMark/>
          </w:tcPr>
          <w:p w14:paraId="3ED81CA1" w14:textId="77777777" w:rsidR="00B70F04" w:rsidRPr="00007C56" w:rsidRDefault="00B70F04" w:rsidP="00B70F04">
            <w:pPr>
              <w:pStyle w:val="Tabletext"/>
            </w:pPr>
          </w:p>
        </w:tc>
        <w:tc>
          <w:tcPr>
            <w:tcW w:w="1855" w:type="dxa"/>
            <w:vMerge/>
            <w:tcBorders>
              <w:top w:val="nil"/>
              <w:left w:val="single" w:sz="4" w:space="0" w:color="auto"/>
              <w:bottom w:val="single" w:sz="4" w:space="0" w:color="auto"/>
              <w:right w:val="single" w:sz="4" w:space="0" w:color="auto"/>
            </w:tcBorders>
            <w:vAlign w:val="center"/>
            <w:hideMark/>
          </w:tcPr>
          <w:p w14:paraId="03CF2F3F" w14:textId="77777777" w:rsidR="00B70F04" w:rsidRPr="00007C56" w:rsidRDefault="00B70F04" w:rsidP="00B70F04">
            <w:pPr>
              <w:pStyle w:val="Tabletext"/>
            </w:pPr>
          </w:p>
        </w:tc>
        <w:tc>
          <w:tcPr>
            <w:tcW w:w="622" w:type="dxa"/>
            <w:tcBorders>
              <w:top w:val="nil"/>
              <w:left w:val="nil"/>
              <w:bottom w:val="single" w:sz="4" w:space="0" w:color="auto"/>
              <w:right w:val="single" w:sz="4" w:space="0" w:color="auto"/>
            </w:tcBorders>
            <w:shd w:val="clear" w:color="auto" w:fill="auto"/>
            <w:vAlign w:val="center"/>
            <w:hideMark/>
          </w:tcPr>
          <w:p w14:paraId="3E5446CC" w14:textId="77777777" w:rsidR="00B70F04" w:rsidRPr="00007C56" w:rsidRDefault="00B70F04" w:rsidP="00B70F04">
            <w:pPr>
              <w:pStyle w:val="Tabletext"/>
            </w:pPr>
            <w:r w:rsidRPr="00007C56">
              <w:t>3.1.3</w:t>
            </w:r>
          </w:p>
        </w:tc>
        <w:tc>
          <w:tcPr>
            <w:tcW w:w="3438" w:type="dxa"/>
            <w:tcBorders>
              <w:top w:val="nil"/>
              <w:left w:val="nil"/>
              <w:bottom w:val="single" w:sz="4" w:space="0" w:color="auto"/>
              <w:right w:val="single" w:sz="4" w:space="0" w:color="auto"/>
            </w:tcBorders>
            <w:shd w:val="clear" w:color="auto" w:fill="auto"/>
            <w:vAlign w:val="center"/>
            <w:hideMark/>
          </w:tcPr>
          <w:p w14:paraId="422CE1D1" w14:textId="77777777" w:rsidR="00B70F04" w:rsidRPr="00007C56" w:rsidRDefault="00B70F04" w:rsidP="00B70F04">
            <w:pPr>
              <w:pStyle w:val="Tabletext"/>
            </w:pPr>
            <w:r w:rsidRPr="00007C56">
              <w:t>Long term objectives</w:t>
            </w:r>
          </w:p>
        </w:tc>
        <w:tc>
          <w:tcPr>
            <w:tcW w:w="1485" w:type="dxa"/>
            <w:tcBorders>
              <w:top w:val="nil"/>
              <w:left w:val="nil"/>
              <w:bottom w:val="single" w:sz="4" w:space="0" w:color="auto"/>
              <w:right w:val="single" w:sz="4" w:space="0" w:color="auto"/>
            </w:tcBorders>
            <w:shd w:val="clear" w:color="auto" w:fill="C2D69B" w:themeFill="accent3" w:themeFillTint="99"/>
            <w:vAlign w:val="center"/>
          </w:tcPr>
          <w:p w14:paraId="4EDFE35F" w14:textId="1D30A828" w:rsidR="00B70F04" w:rsidRPr="00007C56" w:rsidRDefault="00D22DF6" w:rsidP="00D22DF6">
            <w:pPr>
              <w:pStyle w:val="Tabletext"/>
              <w:jc w:val="center"/>
            </w:pPr>
            <w:r w:rsidRPr="00DD74A0">
              <w:rPr>
                <w:rFonts w:cs="Arial"/>
                <w:color w:val="000000"/>
                <w:lang w:eastAsia="en-GB"/>
              </w:rPr>
              <w:t>≥80</w:t>
            </w:r>
          </w:p>
        </w:tc>
      </w:tr>
      <w:tr w:rsidR="00D22DF6" w:rsidRPr="00007C56" w14:paraId="1B5AF664" w14:textId="77777777" w:rsidTr="00F909EF">
        <w:trPr>
          <w:trHeight w:val="300"/>
        </w:trPr>
        <w:tc>
          <w:tcPr>
            <w:tcW w:w="940" w:type="dxa"/>
            <w:vMerge/>
            <w:tcBorders>
              <w:top w:val="nil"/>
              <w:left w:val="single" w:sz="4" w:space="0" w:color="auto"/>
              <w:bottom w:val="single" w:sz="4" w:space="0" w:color="auto"/>
              <w:right w:val="single" w:sz="4" w:space="0" w:color="auto"/>
            </w:tcBorders>
            <w:vAlign w:val="center"/>
            <w:hideMark/>
          </w:tcPr>
          <w:p w14:paraId="0CE93AA4" w14:textId="77777777" w:rsidR="00D22DF6" w:rsidRPr="00007C56" w:rsidRDefault="00D22DF6" w:rsidP="00B70F04">
            <w:pPr>
              <w:pStyle w:val="Tabletext"/>
            </w:pPr>
          </w:p>
        </w:tc>
        <w:tc>
          <w:tcPr>
            <w:tcW w:w="1855" w:type="dxa"/>
            <w:vMerge w:val="restart"/>
            <w:tcBorders>
              <w:top w:val="nil"/>
              <w:left w:val="single" w:sz="4" w:space="0" w:color="auto"/>
              <w:bottom w:val="single" w:sz="4" w:space="0" w:color="auto"/>
              <w:right w:val="single" w:sz="4" w:space="0" w:color="auto"/>
            </w:tcBorders>
            <w:shd w:val="clear" w:color="auto" w:fill="auto"/>
            <w:vAlign w:val="center"/>
            <w:hideMark/>
          </w:tcPr>
          <w:p w14:paraId="6A7B58E7" w14:textId="77777777" w:rsidR="00D22DF6" w:rsidRPr="00007C56" w:rsidRDefault="00D22DF6" w:rsidP="00B70F04">
            <w:pPr>
              <w:pStyle w:val="Tabletext"/>
            </w:pPr>
            <w:r w:rsidRPr="00007C56">
              <w:t>Fishery specific management system</w:t>
            </w:r>
          </w:p>
        </w:tc>
        <w:tc>
          <w:tcPr>
            <w:tcW w:w="622" w:type="dxa"/>
            <w:tcBorders>
              <w:top w:val="nil"/>
              <w:left w:val="nil"/>
              <w:bottom w:val="single" w:sz="4" w:space="0" w:color="auto"/>
              <w:right w:val="single" w:sz="4" w:space="0" w:color="auto"/>
            </w:tcBorders>
            <w:shd w:val="clear" w:color="auto" w:fill="auto"/>
            <w:vAlign w:val="center"/>
            <w:hideMark/>
          </w:tcPr>
          <w:p w14:paraId="190E8005" w14:textId="77777777" w:rsidR="00D22DF6" w:rsidRPr="00007C56" w:rsidRDefault="00D22DF6" w:rsidP="00B70F04">
            <w:pPr>
              <w:pStyle w:val="Tabletext"/>
            </w:pPr>
            <w:r w:rsidRPr="00007C56">
              <w:t>3.2.1</w:t>
            </w:r>
          </w:p>
        </w:tc>
        <w:tc>
          <w:tcPr>
            <w:tcW w:w="3438" w:type="dxa"/>
            <w:tcBorders>
              <w:top w:val="nil"/>
              <w:left w:val="nil"/>
              <w:bottom w:val="single" w:sz="4" w:space="0" w:color="auto"/>
              <w:right w:val="single" w:sz="4" w:space="0" w:color="auto"/>
            </w:tcBorders>
            <w:shd w:val="clear" w:color="auto" w:fill="auto"/>
            <w:vAlign w:val="center"/>
            <w:hideMark/>
          </w:tcPr>
          <w:p w14:paraId="5C51FB15" w14:textId="77777777" w:rsidR="00D22DF6" w:rsidRPr="00007C56" w:rsidRDefault="00D22DF6" w:rsidP="00B70F04">
            <w:pPr>
              <w:pStyle w:val="Tabletext"/>
            </w:pPr>
            <w:r w:rsidRPr="00007C56">
              <w:t>Fishery specific objectives</w:t>
            </w:r>
          </w:p>
        </w:tc>
        <w:tc>
          <w:tcPr>
            <w:tcW w:w="1485" w:type="dxa"/>
            <w:tcBorders>
              <w:top w:val="nil"/>
              <w:left w:val="nil"/>
              <w:bottom w:val="single" w:sz="4" w:space="0" w:color="auto"/>
              <w:right w:val="single" w:sz="4" w:space="0" w:color="auto"/>
            </w:tcBorders>
            <w:shd w:val="clear" w:color="auto" w:fill="FABF8F" w:themeFill="accent6" w:themeFillTint="99"/>
          </w:tcPr>
          <w:p w14:paraId="501A4878" w14:textId="4E87C09D" w:rsidR="00D22DF6" w:rsidRPr="00007C56" w:rsidRDefault="00D22DF6" w:rsidP="00D22DF6">
            <w:pPr>
              <w:pStyle w:val="Tabletext"/>
              <w:jc w:val="center"/>
            </w:pPr>
            <w:r w:rsidRPr="00E87DA6">
              <w:t>60-79</w:t>
            </w:r>
          </w:p>
        </w:tc>
      </w:tr>
      <w:tr w:rsidR="00D22DF6" w:rsidRPr="00007C56" w14:paraId="32AC6991" w14:textId="77777777" w:rsidTr="00D22DF6">
        <w:trPr>
          <w:trHeight w:val="300"/>
        </w:trPr>
        <w:tc>
          <w:tcPr>
            <w:tcW w:w="940" w:type="dxa"/>
            <w:vMerge/>
            <w:tcBorders>
              <w:top w:val="nil"/>
              <w:left w:val="single" w:sz="4" w:space="0" w:color="auto"/>
              <w:bottom w:val="single" w:sz="4" w:space="0" w:color="auto"/>
              <w:right w:val="single" w:sz="4" w:space="0" w:color="auto"/>
            </w:tcBorders>
            <w:vAlign w:val="center"/>
            <w:hideMark/>
          </w:tcPr>
          <w:p w14:paraId="0BAB2928" w14:textId="77777777" w:rsidR="00D22DF6" w:rsidRPr="00007C56" w:rsidRDefault="00D22DF6" w:rsidP="00B70F04">
            <w:pPr>
              <w:pStyle w:val="Tabletext"/>
            </w:pPr>
          </w:p>
        </w:tc>
        <w:tc>
          <w:tcPr>
            <w:tcW w:w="1855" w:type="dxa"/>
            <w:vMerge/>
            <w:tcBorders>
              <w:top w:val="nil"/>
              <w:left w:val="single" w:sz="4" w:space="0" w:color="auto"/>
              <w:bottom w:val="single" w:sz="4" w:space="0" w:color="auto"/>
              <w:right w:val="single" w:sz="4" w:space="0" w:color="auto"/>
            </w:tcBorders>
            <w:vAlign w:val="center"/>
            <w:hideMark/>
          </w:tcPr>
          <w:p w14:paraId="40569A4E" w14:textId="77777777" w:rsidR="00D22DF6" w:rsidRPr="00007C56" w:rsidRDefault="00D22DF6" w:rsidP="00B70F04">
            <w:pPr>
              <w:pStyle w:val="Tabletext"/>
            </w:pPr>
          </w:p>
        </w:tc>
        <w:tc>
          <w:tcPr>
            <w:tcW w:w="622" w:type="dxa"/>
            <w:tcBorders>
              <w:top w:val="nil"/>
              <w:left w:val="nil"/>
              <w:bottom w:val="single" w:sz="4" w:space="0" w:color="auto"/>
              <w:right w:val="single" w:sz="4" w:space="0" w:color="auto"/>
            </w:tcBorders>
            <w:shd w:val="clear" w:color="auto" w:fill="auto"/>
            <w:vAlign w:val="center"/>
            <w:hideMark/>
          </w:tcPr>
          <w:p w14:paraId="556A73B5" w14:textId="77777777" w:rsidR="00D22DF6" w:rsidRPr="00007C56" w:rsidRDefault="00D22DF6" w:rsidP="00B70F04">
            <w:pPr>
              <w:pStyle w:val="Tabletext"/>
            </w:pPr>
            <w:r w:rsidRPr="00007C56">
              <w:t>3.2.2</w:t>
            </w:r>
          </w:p>
        </w:tc>
        <w:tc>
          <w:tcPr>
            <w:tcW w:w="3438" w:type="dxa"/>
            <w:tcBorders>
              <w:top w:val="nil"/>
              <w:left w:val="nil"/>
              <w:bottom w:val="single" w:sz="4" w:space="0" w:color="auto"/>
              <w:right w:val="single" w:sz="4" w:space="0" w:color="auto"/>
            </w:tcBorders>
            <w:shd w:val="clear" w:color="auto" w:fill="auto"/>
            <w:vAlign w:val="center"/>
            <w:hideMark/>
          </w:tcPr>
          <w:p w14:paraId="6FE5CAA1" w14:textId="77777777" w:rsidR="00D22DF6" w:rsidRPr="00007C56" w:rsidRDefault="00D22DF6" w:rsidP="00B70F04">
            <w:pPr>
              <w:pStyle w:val="Tabletext"/>
            </w:pPr>
            <w:r w:rsidRPr="00007C56">
              <w:t>Decision making processes</w:t>
            </w:r>
          </w:p>
        </w:tc>
        <w:tc>
          <w:tcPr>
            <w:tcW w:w="1485" w:type="dxa"/>
            <w:tcBorders>
              <w:top w:val="nil"/>
              <w:left w:val="nil"/>
              <w:bottom w:val="single" w:sz="4" w:space="0" w:color="auto"/>
              <w:right w:val="single" w:sz="4" w:space="0" w:color="auto"/>
            </w:tcBorders>
            <w:shd w:val="clear" w:color="auto" w:fill="C2D69B" w:themeFill="accent3" w:themeFillTint="99"/>
          </w:tcPr>
          <w:p w14:paraId="5D9B878F" w14:textId="554B744B" w:rsidR="00D22DF6" w:rsidRPr="00007C56" w:rsidRDefault="00D22DF6" w:rsidP="00D22DF6">
            <w:pPr>
              <w:pStyle w:val="Tabletext"/>
              <w:jc w:val="center"/>
            </w:pPr>
            <w:r w:rsidRPr="0047214A">
              <w:rPr>
                <w:rFonts w:cs="Arial"/>
                <w:color w:val="000000"/>
                <w:lang w:eastAsia="en-GB"/>
              </w:rPr>
              <w:t>≥80</w:t>
            </w:r>
          </w:p>
        </w:tc>
      </w:tr>
      <w:tr w:rsidR="00D22DF6" w:rsidRPr="00007C56" w14:paraId="48F3E539" w14:textId="77777777" w:rsidTr="00D22DF6">
        <w:trPr>
          <w:trHeight w:val="300"/>
        </w:trPr>
        <w:tc>
          <w:tcPr>
            <w:tcW w:w="940" w:type="dxa"/>
            <w:vMerge/>
            <w:tcBorders>
              <w:top w:val="nil"/>
              <w:left w:val="single" w:sz="4" w:space="0" w:color="auto"/>
              <w:bottom w:val="single" w:sz="4" w:space="0" w:color="auto"/>
              <w:right w:val="single" w:sz="4" w:space="0" w:color="auto"/>
            </w:tcBorders>
            <w:vAlign w:val="center"/>
            <w:hideMark/>
          </w:tcPr>
          <w:p w14:paraId="1B5AB9BE" w14:textId="77777777" w:rsidR="00D22DF6" w:rsidRPr="00007C56" w:rsidRDefault="00D22DF6" w:rsidP="00B70F04">
            <w:pPr>
              <w:pStyle w:val="Tabletext"/>
            </w:pPr>
          </w:p>
        </w:tc>
        <w:tc>
          <w:tcPr>
            <w:tcW w:w="1855" w:type="dxa"/>
            <w:vMerge/>
            <w:tcBorders>
              <w:top w:val="nil"/>
              <w:left w:val="single" w:sz="4" w:space="0" w:color="auto"/>
              <w:bottom w:val="single" w:sz="4" w:space="0" w:color="auto"/>
              <w:right w:val="single" w:sz="4" w:space="0" w:color="auto"/>
            </w:tcBorders>
            <w:vAlign w:val="center"/>
            <w:hideMark/>
          </w:tcPr>
          <w:p w14:paraId="02946E3E" w14:textId="77777777" w:rsidR="00D22DF6" w:rsidRPr="00007C56" w:rsidRDefault="00D22DF6" w:rsidP="00B70F04">
            <w:pPr>
              <w:pStyle w:val="Tabletext"/>
            </w:pPr>
          </w:p>
        </w:tc>
        <w:tc>
          <w:tcPr>
            <w:tcW w:w="622" w:type="dxa"/>
            <w:tcBorders>
              <w:top w:val="nil"/>
              <w:left w:val="nil"/>
              <w:bottom w:val="single" w:sz="4" w:space="0" w:color="auto"/>
              <w:right w:val="single" w:sz="4" w:space="0" w:color="auto"/>
            </w:tcBorders>
            <w:shd w:val="clear" w:color="auto" w:fill="auto"/>
            <w:vAlign w:val="center"/>
            <w:hideMark/>
          </w:tcPr>
          <w:p w14:paraId="1355E731" w14:textId="77777777" w:rsidR="00D22DF6" w:rsidRPr="00007C56" w:rsidRDefault="00D22DF6" w:rsidP="00B70F04">
            <w:pPr>
              <w:pStyle w:val="Tabletext"/>
            </w:pPr>
            <w:r w:rsidRPr="00007C56">
              <w:t>3.2.3</w:t>
            </w:r>
          </w:p>
        </w:tc>
        <w:tc>
          <w:tcPr>
            <w:tcW w:w="3438" w:type="dxa"/>
            <w:tcBorders>
              <w:top w:val="nil"/>
              <w:left w:val="nil"/>
              <w:bottom w:val="single" w:sz="4" w:space="0" w:color="auto"/>
              <w:right w:val="single" w:sz="4" w:space="0" w:color="auto"/>
            </w:tcBorders>
            <w:shd w:val="clear" w:color="auto" w:fill="auto"/>
            <w:vAlign w:val="center"/>
            <w:hideMark/>
          </w:tcPr>
          <w:p w14:paraId="6192EBCA" w14:textId="77777777" w:rsidR="00D22DF6" w:rsidRPr="00007C56" w:rsidRDefault="00D22DF6" w:rsidP="00B70F04">
            <w:pPr>
              <w:pStyle w:val="Tabletext"/>
            </w:pPr>
            <w:r w:rsidRPr="00007C56">
              <w:t>Compliance and enforcement</w:t>
            </w:r>
          </w:p>
        </w:tc>
        <w:tc>
          <w:tcPr>
            <w:tcW w:w="1485" w:type="dxa"/>
            <w:tcBorders>
              <w:top w:val="nil"/>
              <w:left w:val="nil"/>
              <w:bottom w:val="single" w:sz="4" w:space="0" w:color="auto"/>
              <w:right w:val="single" w:sz="4" w:space="0" w:color="auto"/>
            </w:tcBorders>
            <w:shd w:val="clear" w:color="auto" w:fill="C2D69B" w:themeFill="accent3" w:themeFillTint="99"/>
          </w:tcPr>
          <w:p w14:paraId="5C6C7C92" w14:textId="389033BC" w:rsidR="00D22DF6" w:rsidRPr="00007C56" w:rsidRDefault="00D22DF6" w:rsidP="00D22DF6">
            <w:pPr>
              <w:pStyle w:val="Tabletext"/>
              <w:jc w:val="center"/>
            </w:pPr>
            <w:r w:rsidRPr="00B35E3A">
              <w:rPr>
                <w:rFonts w:cs="Arial"/>
                <w:color w:val="000000"/>
                <w:lang w:eastAsia="en-GB"/>
              </w:rPr>
              <w:t>≥80</w:t>
            </w:r>
          </w:p>
        </w:tc>
      </w:tr>
      <w:tr w:rsidR="00D22DF6" w:rsidRPr="00007C56" w14:paraId="33F142C6" w14:textId="77777777" w:rsidTr="00D22DF6">
        <w:trPr>
          <w:trHeight w:val="300"/>
        </w:trPr>
        <w:tc>
          <w:tcPr>
            <w:tcW w:w="940" w:type="dxa"/>
            <w:vMerge/>
            <w:tcBorders>
              <w:top w:val="nil"/>
              <w:left w:val="single" w:sz="4" w:space="0" w:color="auto"/>
              <w:bottom w:val="single" w:sz="4" w:space="0" w:color="auto"/>
              <w:right w:val="single" w:sz="4" w:space="0" w:color="auto"/>
            </w:tcBorders>
            <w:vAlign w:val="center"/>
            <w:hideMark/>
          </w:tcPr>
          <w:p w14:paraId="4FADA308" w14:textId="77777777" w:rsidR="00D22DF6" w:rsidRPr="00007C56" w:rsidRDefault="00D22DF6" w:rsidP="00B70F04">
            <w:pPr>
              <w:pStyle w:val="Tabletext"/>
            </w:pPr>
          </w:p>
        </w:tc>
        <w:tc>
          <w:tcPr>
            <w:tcW w:w="1855" w:type="dxa"/>
            <w:vMerge/>
            <w:tcBorders>
              <w:top w:val="nil"/>
              <w:left w:val="single" w:sz="4" w:space="0" w:color="auto"/>
              <w:bottom w:val="single" w:sz="4" w:space="0" w:color="auto"/>
              <w:right w:val="single" w:sz="4" w:space="0" w:color="auto"/>
            </w:tcBorders>
            <w:vAlign w:val="center"/>
            <w:hideMark/>
          </w:tcPr>
          <w:p w14:paraId="53545640" w14:textId="77777777" w:rsidR="00D22DF6" w:rsidRPr="00007C56" w:rsidRDefault="00D22DF6" w:rsidP="00B70F04">
            <w:pPr>
              <w:pStyle w:val="Tabletext"/>
            </w:pPr>
          </w:p>
        </w:tc>
        <w:tc>
          <w:tcPr>
            <w:tcW w:w="622" w:type="dxa"/>
            <w:tcBorders>
              <w:top w:val="nil"/>
              <w:left w:val="nil"/>
              <w:bottom w:val="single" w:sz="4" w:space="0" w:color="auto"/>
              <w:right w:val="single" w:sz="4" w:space="0" w:color="auto"/>
            </w:tcBorders>
            <w:shd w:val="clear" w:color="auto" w:fill="auto"/>
            <w:vAlign w:val="center"/>
            <w:hideMark/>
          </w:tcPr>
          <w:p w14:paraId="657DC81D" w14:textId="77777777" w:rsidR="00D22DF6" w:rsidRPr="00007C56" w:rsidRDefault="00D22DF6" w:rsidP="00B70F04">
            <w:pPr>
              <w:pStyle w:val="Tabletext"/>
            </w:pPr>
            <w:r w:rsidRPr="00007C56">
              <w:t>3.2.4</w:t>
            </w:r>
          </w:p>
        </w:tc>
        <w:tc>
          <w:tcPr>
            <w:tcW w:w="3438" w:type="dxa"/>
            <w:tcBorders>
              <w:top w:val="nil"/>
              <w:left w:val="nil"/>
              <w:bottom w:val="single" w:sz="4" w:space="0" w:color="auto"/>
              <w:right w:val="single" w:sz="4" w:space="0" w:color="auto"/>
            </w:tcBorders>
            <w:shd w:val="clear" w:color="auto" w:fill="auto"/>
            <w:vAlign w:val="center"/>
            <w:hideMark/>
          </w:tcPr>
          <w:p w14:paraId="2572EBD6" w14:textId="77777777" w:rsidR="00D22DF6" w:rsidRPr="00007C56" w:rsidRDefault="00D22DF6" w:rsidP="00B70F04">
            <w:pPr>
              <w:pStyle w:val="Tabletext"/>
            </w:pPr>
            <w:r w:rsidRPr="00007C56">
              <w:t>Management performance evaluation</w:t>
            </w:r>
          </w:p>
        </w:tc>
        <w:tc>
          <w:tcPr>
            <w:tcW w:w="1485" w:type="dxa"/>
            <w:tcBorders>
              <w:top w:val="nil"/>
              <w:left w:val="nil"/>
              <w:bottom w:val="single" w:sz="4" w:space="0" w:color="auto"/>
              <w:right w:val="single" w:sz="4" w:space="0" w:color="auto"/>
            </w:tcBorders>
            <w:shd w:val="clear" w:color="auto" w:fill="C2D69B" w:themeFill="accent3" w:themeFillTint="99"/>
          </w:tcPr>
          <w:p w14:paraId="44CE286A" w14:textId="78862E5F" w:rsidR="00D22DF6" w:rsidRPr="00007C56" w:rsidRDefault="00D22DF6" w:rsidP="00D22DF6">
            <w:pPr>
              <w:pStyle w:val="Tabletext"/>
              <w:jc w:val="center"/>
            </w:pPr>
            <w:r w:rsidRPr="00B35E3A">
              <w:rPr>
                <w:rFonts w:cs="Arial"/>
                <w:color w:val="000000"/>
                <w:lang w:eastAsia="en-GB"/>
              </w:rPr>
              <w:t>≥80</w:t>
            </w:r>
          </w:p>
        </w:tc>
      </w:tr>
    </w:tbl>
    <w:p w14:paraId="63E3C273" w14:textId="650D565B" w:rsidR="002D4E32" w:rsidRDefault="002D4E32" w:rsidP="002D4E32">
      <w:pPr>
        <w:pStyle w:val="Heading2"/>
        <w:rPr>
          <w:lang w:eastAsia="en-GB"/>
        </w:rPr>
      </w:pPr>
      <w:bookmarkStart w:id="63" w:name="_Toc469259585"/>
      <w:r>
        <w:rPr>
          <w:lang w:eastAsia="en-GB"/>
        </w:rPr>
        <w:lastRenderedPageBreak/>
        <w:t>Key findings from the pre-assessment</w:t>
      </w:r>
      <w:bookmarkEnd w:id="63"/>
    </w:p>
    <w:p w14:paraId="2961CB12" w14:textId="36047405" w:rsidR="002D4E32" w:rsidRPr="001A58B8" w:rsidRDefault="002D4E32" w:rsidP="002D4E32">
      <w:pPr>
        <w:pStyle w:val="Heading4"/>
        <w:rPr>
          <w:sz w:val="22"/>
          <w:lang w:eastAsia="en-GB"/>
        </w:rPr>
      </w:pPr>
      <w:r w:rsidRPr="001A58B8">
        <w:rPr>
          <w:sz w:val="22"/>
          <w:lang w:eastAsia="en-GB"/>
        </w:rPr>
        <w:t>Principle 1</w:t>
      </w:r>
    </w:p>
    <w:p w14:paraId="77162A8B" w14:textId="77777777" w:rsidR="001A58B8" w:rsidRDefault="002D4E32" w:rsidP="002D4E32">
      <w:r w:rsidRPr="00596888">
        <w:t xml:space="preserve">Level 60 was </w:t>
      </w:r>
      <w:r w:rsidR="00D22DF6" w:rsidRPr="00D22DF6">
        <w:rPr>
          <w:b/>
        </w:rPr>
        <w:t>not</w:t>
      </w:r>
      <w:r w:rsidR="00D22DF6">
        <w:t xml:space="preserve"> </w:t>
      </w:r>
      <w:r w:rsidRPr="00596888">
        <w:t>met for</w:t>
      </w:r>
      <w:r w:rsidR="001A58B8">
        <w:t xml:space="preserve"> the following PIs:</w:t>
      </w:r>
    </w:p>
    <w:p w14:paraId="3A983A21" w14:textId="77777777" w:rsidR="001A58B8" w:rsidRDefault="001A58B8" w:rsidP="00F15E27">
      <w:pPr>
        <w:pStyle w:val="ListParagraph"/>
        <w:numPr>
          <w:ilvl w:val="0"/>
          <w:numId w:val="30"/>
        </w:numPr>
      </w:pPr>
      <w:r>
        <w:t>1.2.1 – Harvest Strategy</w:t>
      </w:r>
    </w:p>
    <w:p w14:paraId="1F0C7C25" w14:textId="77777777" w:rsidR="001A58B8" w:rsidRDefault="001A58B8" w:rsidP="00F15E27">
      <w:pPr>
        <w:pStyle w:val="ListParagraph"/>
        <w:numPr>
          <w:ilvl w:val="0"/>
          <w:numId w:val="30"/>
        </w:numPr>
      </w:pPr>
      <w:r>
        <w:t>1.2.2 – Harvest control rules and tools</w:t>
      </w:r>
    </w:p>
    <w:p w14:paraId="2D849133" w14:textId="2B1617EE" w:rsidR="001A58B8" w:rsidRDefault="00D22DF6" w:rsidP="002D4E32">
      <w:r>
        <w:t>The</w:t>
      </w:r>
      <w:r w:rsidR="00F15E27">
        <w:t>se relate</w:t>
      </w:r>
      <w:r>
        <w:t xml:space="preserve"> to the </w:t>
      </w:r>
      <w:r w:rsidR="001A58B8">
        <w:t xml:space="preserve">design, </w:t>
      </w:r>
      <w:r>
        <w:t>establishment and application of a coherent Harvest Control Rule</w:t>
      </w:r>
      <w:r w:rsidR="001A58B8">
        <w:t xml:space="preserve">.  Whilst management using Technical Measures does provide some safety net with respect to maintenance of the stock above </w:t>
      </w:r>
      <w:proofErr w:type="spellStart"/>
      <w:r w:rsidR="001A58B8">
        <w:t>MSY</w:t>
      </w:r>
      <w:r w:rsidR="001A58B8" w:rsidRPr="001A58B8">
        <w:rPr>
          <w:vertAlign w:val="subscript"/>
        </w:rPr>
        <w:t>limit</w:t>
      </w:r>
      <w:proofErr w:type="spellEnd"/>
      <w:r w:rsidR="001A58B8">
        <w:t xml:space="preserve"> it does not constitute, in the context of the MSC standard, an adaptive management regime, and cannot be demonstrated as being effective in moving stock towards and maintaining it at </w:t>
      </w:r>
      <w:proofErr w:type="spellStart"/>
      <w:r w:rsidR="001A58B8">
        <w:t>MSY</w:t>
      </w:r>
      <w:r w:rsidR="001A58B8" w:rsidRPr="001A58B8">
        <w:rPr>
          <w:vertAlign w:val="subscript"/>
        </w:rPr>
        <w:t>target</w:t>
      </w:r>
      <w:proofErr w:type="spellEnd"/>
      <w:r w:rsidR="001A58B8">
        <w:t>.</w:t>
      </w:r>
      <w:r w:rsidR="00F15E27">
        <w:t xml:space="preserve">  Until these issues are satisfactorily addressed the fishery will </w:t>
      </w:r>
      <w:r w:rsidR="00F15E27" w:rsidRPr="00F15E27">
        <w:rPr>
          <w:b/>
        </w:rPr>
        <w:t>fail</w:t>
      </w:r>
      <w:r w:rsidR="00F15E27">
        <w:t xml:space="preserve"> assessment. </w:t>
      </w:r>
    </w:p>
    <w:p w14:paraId="479E454B" w14:textId="5925042B" w:rsidR="002D4E32" w:rsidRDefault="001A58B8" w:rsidP="001A58B8">
      <w:r w:rsidRPr="005C0C94">
        <w:t xml:space="preserve">Level 80 was </w:t>
      </w:r>
      <w:r>
        <w:t>met for the remaining three PIs within Principle 1.</w:t>
      </w:r>
    </w:p>
    <w:p w14:paraId="1DD52AA3" w14:textId="2B87BECF" w:rsidR="002D4E32" w:rsidRPr="005C0C94" w:rsidRDefault="001A58B8" w:rsidP="002D4E32">
      <w:r>
        <w:t xml:space="preserve">The edible crab is </w:t>
      </w:r>
      <w:r w:rsidRPr="001A58B8">
        <w:rPr>
          <w:b/>
        </w:rPr>
        <w:t>not</w:t>
      </w:r>
      <w:r>
        <w:t xml:space="preserve"> considered LTL.</w:t>
      </w:r>
    </w:p>
    <w:p w14:paraId="15D16145" w14:textId="77777777" w:rsidR="002D4E32" w:rsidRPr="001A58B8" w:rsidRDefault="002D4E32" w:rsidP="002D4E32">
      <w:pPr>
        <w:pStyle w:val="Heading4"/>
        <w:rPr>
          <w:sz w:val="22"/>
        </w:rPr>
      </w:pPr>
      <w:r w:rsidRPr="001A58B8">
        <w:rPr>
          <w:sz w:val="22"/>
        </w:rPr>
        <w:t>Principle 2</w:t>
      </w:r>
    </w:p>
    <w:p w14:paraId="7C1DD1AA" w14:textId="77777777" w:rsidR="001A58B8" w:rsidRDefault="002D4E32" w:rsidP="002D4E32">
      <w:r>
        <w:t xml:space="preserve">The </w:t>
      </w:r>
      <w:r w:rsidRPr="005C0C94">
        <w:t xml:space="preserve">Level 60 was met for </w:t>
      </w:r>
      <w:r>
        <w:t xml:space="preserve">all </w:t>
      </w:r>
      <w:r w:rsidRPr="005C0C94">
        <w:t>PIs</w:t>
      </w:r>
      <w:r>
        <w:t xml:space="preserve"> in Principle 2</w:t>
      </w:r>
      <w:r w:rsidR="001A58B8">
        <w:t>.</w:t>
      </w:r>
    </w:p>
    <w:p w14:paraId="5825EE0C" w14:textId="77777777" w:rsidR="006E662D" w:rsidRPr="006C0CF1" w:rsidRDefault="001A58B8" w:rsidP="006E662D">
      <w:r>
        <w:t>There is insufficient clarity with regard to information on the extent of interaction with secondary species, and with ETP species</w:t>
      </w:r>
      <w:r w:rsidR="00F15E27">
        <w:t>, and this adversely impacts the development and application of strategic to manage and mitigate impacts</w:t>
      </w:r>
      <w:r>
        <w:t>.</w:t>
      </w:r>
      <w:r w:rsidR="00F15E27">
        <w:t xml:space="preserve">  </w:t>
      </w:r>
      <w:r w:rsidR="006E662D" w:rsidRPr="006C0CF1">
        <w:t>In addition, outcomes with regard to ETP populations fall short of SG80 requirements.</w:t>
      </w:r>
    </w:p>
    <w:p w14:paraId="422A396C" w14:textId="77777777" w:rsidR="006E662D" w:rsidRPr="006C0CF1" w:rsidRDefault="006E662D" w:rsidP="006E662D">
      <w:r w:rsidRPr="006C0CF1">
        <w:t xml:space="preserve">Altogether </w:t>
      </w:r>
      <w:r>
        <w:t>six</w:t>
      </w:r>
      <w:r w:rsidRPr="006C0CF1">
        <w:t xml:space="preserve"> out of 15 PIs fall short of a score of SG80, and these will draw a significant number of conditions unless redressed prior to entering full assessment.</w:t>
      </w:r>
    </w:p>
    <w:p w14:paraId="64345FAA" w14:textId="1BC7B98C" w:rsidR="002D4E32" w:rsidRPr="001A58B8" w:rsidRDefault="002D4E32" w:rsidP="006E662D">
      <w:pPr>
        <w:rPr>
          <w:rFonts w:eastAsia="Calibri"/>
          <w:lang w:eastAsia="en-GB"/>
        </w:rPr>
      </w:pPr>
      <w:r w:rsidRPr="001A58B8">
        <w:rPr>
          <w:rFonts w:eastAsia="Calibri"/>
          <w:lang w:eastAsia="en-GB"/>
        </w:rPr>
        <w:t>Principle 3</w:t>
      </w:r>
    </w:p>
    <w:p w14:paraId="4846D6D2" w14:textId="7E165F32" w:rsidR="002D4E32" w:rsidRPr="005C0C94" w:rsidRDefault="002D4E32" w:rsidP="002D4E32">
      <w:r w:rsidRPr="005C0C94">
        <w:t xml:space="preserve">Level 60 was met for </w:t>
      </w:r>
      <w:r>
        <w:t xml:space="preserve">all </w:t>
      </w:r>
      <w:r w:rsidRPr="005C0C94">
        <w:t>PIs</w:t>
      </w:r>
      <w:r w:rsidRPr="00596888">
        <w:t xml:space="preserve"> </w:t>
      </w:r>
      <w:r>
        <w:t>in Principle 3</w:t>
      </w:r>
      <w:r w:rsidR="00F15E27">
        <w:t>.</w:t>
      </w:r>
    </w:p>
    <w:p w14:paraId="0314A981" w14:textId="2CB920B8" w:rsidR="00F15E27" w:rsidRDefault="002D4E32" w:rsidP="00F15E27">
      <w:r w:rsidRPr="005C0C94">
        <w:t xml:space="preserve">Level 80 was not met for the </w:t>
      </w:r>
      <w:r>
        <w:t>PI 3.</w:t>
      </w:r>
      <w:r w:rsidR="00F15E27">
        <w:t>2</w:t>
      </w:r>
      <w:r>
        <w:t>.</w:t>
      </w:r>
      <w:r w:rsidR="00F15E27">
        <w:t>1</w:t>
      </w:r>
      <w:r>
        <w:t>:</w:t>
      </w:r>
      <w:r w:rsidRPr="00382FA8">
        <w:t xml:space="preserve"> </w:t>
      </w:r>
      <w:r w:rsidR="00F15E27">
        <w:t>Fishery specific objectives.  A clearer and more coherent of the management objectives for this fishery are required to meet the SG80 level.</w:t>
      </w:r>
    </w:p>
    <w:p w14:paraId="089A3E42" w14:textId="77777777" w:rsidR="002D4E32" w:rsidRPr="002D4E32" w:rsidRDefault="002D4E32" w:rsidP="002D4E32">
      <w:pPr>
        <w:pStyle w:val="Heading2"/>
      </w:pPr>
      <w:bookmarkStart w:id="64" w:name="_Toc292723273"/>
      <w:bookmarkStart w:id="65" w:name="_Toc372551832"/>
      <w:bookmarkStart w:id="66" w:name="_Toc469259586"/>
      <w:r w:rsidRPr="002D4E32">
        <w:t>Expectations regarding use of the Risk-Based Framework (RBF)</w:t>
      </w:r>
      <w:bookmarkEnd w:id="64"/>
      <w:bookmarkEnd w:id="65"/>
      <w:bookmarkEnd w:id="66"/>
    </w:p>
    <w:p w14:paraId="309BCA5A" w14:textId="0BB1ED81" w:rsidR="00C82047" w:rsidRPr="00C82047" w:rsidRDefault="002D4E32" w:rsidP="002D4E32">
      <w:r w:rsidRPr="00C82047">
        <w:t xml:space="preserve">The Risk-Based Framework (RBF) is not required for Principle 1. </w:t>
      </w:r>
      <w:r w:rsidR="00F15E27" w:rsidRPr="00C82047">
        <w:t xml:space="preserve">There is some anecdotal indication that the fishery impacts a number of secondary species, but does so at a very low and occasional level. </w:t>
      </w:r>
      <w:r w:rsidR="00C82047" w:rsidRPr="00C82047">
        <w:t xml:space="preserve">These species are treated is minor secondary species, </w:t>
      </w:r>
      <w:r w:rsidR="00C82047">
        <w:t xml:space="preserve">where no RBF is required, and </w:t>
      </w:r>
      <w:r w:rsidR="00C82047" w:rsidRPr="00C82047">
        <w:t>attracting a default score of SG80.</w:t>
      </w:r>
    </w:p>
    <w:p w14:paraId="42151626" w14:textId="011E3CBF" w:rsidR="00B70F04" w:rsidRDefault="00B70F04" w:rsidP="00D54775">
      <w:pPr>
        <w:rPr>
          <w:rFonts w:eastAsia="Calibri" w:cs="Arial"/>
          <w:szCs w:val="20"/>
        </w:rPr>
      </w:pPr>
    </w:p>
    <w:p w14:paraId="000D1DD1" w14:textId="77777777" w:rsidR="002D4E32" w:rsidRDefault="002D4E32" w:rsidP="00D54775">
      <w:pPr>
        <w:rPr>
          <w:rFonts w:eastAsia="Calibri" w:cs="Arial"/>
          <w:szCs w:val="20"/>
        </w:rPr>
      </w:pPr>
    </w:p>
    <w:p w14:paraId="727773F8" w14:textId="4EBF6151" w:rsidR="002D4E32" w:rsidRDefault="002D4E32" w:rsidP="00D54775">
      <w:pPr>
        <w:rPr>
          <w:rFonts w:eastAsia="Calibri" w:cs="Arial"/>
          <w:szCs w:val="20"/>
        </w:rPr>
      </w:pPr>
    </w:p>
    <w:p w14:paraId="1F0544E8" w14:textId="77777777" w:rsidR="002D4E32" w:rsidRDefault="002D4E32" w:rsidP="00D54775">
      <w:pPr>
        <w:rPr>
          <w:rFonts w:eastAsia="Calibri" w:cs="Arial"/>
          <w:szCs w:val="20"/>
        </w:rPr>
        <w:sectPr w:rsidR="002D4E32" w:rsidSect="00A123D1">
          <w:headerReference w:type="default" r:id="rId28"/>
          <w:pgSz w:w="11906" w:h="16838"/>
          <w:pgMar w:top="1440" w:right="1440" w:bottom="1440" w:left="1440" w:header="708" w:footer="708" w:gutter="0"/>
          <w:cols w:space="708"/>
          <w:docGrid w:linePitch="360"/>
        </w:sectPr>
      </w:pPr>
    </w:p>
    <w:p w14:paraId="55558095" w14:textId="333487C2" w:rsidR="0094023F" w:rsidRDefault="0094023F" w:rsidP="0094023F">
      <w:pPr>
        <w:pStyle w:val="Heading1"/>
        <w:numPr>
          <w:ilvl w:val="0"/>
          <w:numId w:val="0"/>
        </w:numPr>
        <w:ind w:left="720" w:hanging="360"/>
      </w:pPr>
      <w:bookmarkStart w:id="67" w:name="_Toc469259587"/>
      <w:bookmarkStart w:id="68" w:name="_Ref326445274"/>
      <w:r>
        <w:lastRenderedPageBreak/>
        <w:t>Appendix 1 – Pre-assessment Scoring Sheets</w:t>
      </w:r>
      <w:bookmarkEnd w:id="67"/>
    </w:p>
    <w:p w14:paraId="785011B9" w14:textId="4843C226" w:rsidR="00D54775" w:rsidRPr="00BB556C" w:rsidRDefault="003038BE" w:rsidP="00BB556C">
      <w:pPr>
        <w:pStyle w:val="Caption"/>
      </w:pPr>
      <w:r w:rsidRPr="00BB556C">
        <w:t xml:space="preserve">Table </w:t>
      </w:r>
      <w:bookmarkEnd w:id="68"/>
      <w:r w:rsidR="002D4E32">
        <w:t>A1.1</w:t>
      </w:r>
      <w:r w:rsidRPr="00BB556C">
        <w:t>:</w:t>
      </w:r>
      <w:r w:rsidR="00D54775" w:rsidRPr="00BB556C">
        <w:t xml:space="preserve"> Simplified Scoring sheet</w:t>
      </w:r>
      <w:r w:rsidR="00BB556C">
        <w:t xml:space="preserve"> – Principle 1</w:t>
      </w:r>
    </w:p>
    <w:tbl>
      <w:tblPr>
        <w:tblW w:w="14769" w:type="dxa"/>
        <w:tblInd w:w="93" w:type="dxa"/>
        <w:tblLayout w:type="fixed"/>
        <w:tblLook w:val="04A0" w:firstRow="1" w:lastRow="0" w:firstColumn="1" w:lastColumn="0" w:noHBand="0" w:noVBand="1"/>
      </w:tblPr>
      <w:tblGrid>
        <w:gridCol w:w="1036"/>
        <w:gridCol w:w="1418"/>
        <w:gridCol w:w="709"/>
        <w:gridCol w:w="1559"/>
        <w:gridCol w:w="992"/>
        <w:gridCol w:w="851"/>
        <w:gridCol w:w="8204"/>
      </w:tblGrid>
      <w:tr w:rsidR="0098583D" w:rsidRPr="005C0C94" w14:paraId="4C4B26B0" w14:textId="77777777" w:rsidTr="00483E05">
        <w:trPr>
          <w:trHeight w:val="804"/>
          <w:tblHeader/>
        </w:trPr>
        <w:tc>
          <w:tcPr>
            <w:tcW w:w="1036" w:type="dxa"/>
            <w:tcBorders>
              <w:top w:val="single" w:sz="8" w:space="0" w:color="auto"/>
              <w:left w:val="single" w:sz="4" w:space="0" w:color="auto"/>
              <w:bottom w:val="single" w:sz="8" w:space="0" w:color="auto"/>
              <w:right w:val="single" w:sz="8" w:space="0" w:color="auto"/>
            </w:tcBorders>
            <w:shd w:val="clear" w:color="000000" w:fill="BFBFBF"/>
            <w:vAlign w:val="center"/>
          </w:tcPr>
          <w:p w14:paraId="43C2DEC1" w14:textId="77777777" w:rsidR="0098583D" w:rsidRPr="005C0C94" w:rsidRDefault="0098583D" w:rsidP="007D1E56">
            <w:pPr>
              <w:jc w:val="center"/>
              <w:rPr>
                <w:rFonts w:cs="Arial"/>
                <w:b/>
                <w:bCs/>
                <w:color w:val="000000"/>
                <w:sz w:val="20"/>
                <w:szCs w:val="20"/>
                <w:lang w:eastAsia="en-GB"/>
              </w:rPr>
            </w:pPr>
            <w:r w:rsidRPr="005C0C94">
              <w:rPr>
                <w:rFonts w:cs="Arial"/>
                <w:b/>
                <w:bCs/>
                <w:color w:val="000000"/>
                <w:sz w:val="20"/>
                <w:szCs w:val="20"/>
                <w:lang w:eastAsia="en-GB"/>
              </w:rPr>
              <w:t>Principle</w:t>
            </w:r>
          </w:p>
        </w:tc>
        <w:tc>
          <w:tcPr>
            <w:tcW w:w="1418" w:type="dxa"/>
            <w:tcBorders>
              <w:top w:val="single" w:sz="8" w:space="0" w:color="auto"/>
              <w:left w:val="single" w:sz="4" w:space="0" w:color="auto"/>
              <w:bottom w:val="single" w:sz="8" w:space="0" w:color="auto"/>
              <w:right w:val="single" w:sz="8" w:space="0" w:color="auto"/>
            </w:tcBorders>
            <w:shd w:val="clear" w:color="000000" w:fill="BFBFBF"/>
            <w:vAlign w:val="center"/>
            <w:hideMark/>
          </w:tcPr>
          <w:p w14:paraId="25E87578" w14:textId="77777777" w:rsidR="0098583D" w:rsidRPr="005C0C94" w:rsidRDefault="0098583D" w:rsidP="002432AC">
            <w:pPr>
              <w:jc w:val="center"/>
              <w:rPr>
                <w:rFonts w:cs="Arial"/>
                <w:b/>
                <w:bCs/>
                <w:color w:val="000000"/>
                <w:sz w:val="20"/>
                <w:szCs w:val="20"/>
                <w:lang w:eastAsia="en-GB"/>
              </w:rPr>
            </w:pPr>
            <w:r w:rsidRPr="005C0C94">
              <w:rPr>
                <w:rFonts w:cs="Arial"/>
                <w:b/>
                <w:bCs/>
                <w:color w:val="000000"/>
                <w:sz w:val="20"/>
                <w:szCs w:val="20"/>
                <w:lang w:eastAsia="en-GB"/>
              </w:rPr>
              <w:t>Component</w:t>
            </w:r>
          </w:p>
        </w:tc>
        <w:tc>
          <w:tcPr>
            <w:tcW w:w="709" w:type="dxa"/>
            <w:tcBorders>
              <w:top w:val="single" w:sz="8" w:space="0" w:color="auto"/>
              <w:left w:val="nil"/>
              <w:bottom w:val="single" w:sz="8" w:space="0" w:color="auto"/>
              <w:right w:val="single" w:sz="8" w:space="0" w:color="auto"/>
            </w:tcBorders>
            <w:shd w:val="clear" w:color="000000" w:fill="BFBFBF"/>
            <w:vAlign w:val="center"/>
            <w:hideMark/>
          </w:tcPr>
          <w:p w14:paraId="61EF50E3" w14:textId="77777777" w:rsidR="0098583D" w:rsidRPr="005C0C94" w:rsidRDefault="0098583D" w:rsidP="007D1E56">
            <w:pPr>
              <w:jc w:val="center"/>
              <w:rPr>
                <w:rFonts w:cs="Arial"/>
                <w:b/>
                <w:bCs/>
                <w:color w:val="000000"/>
                <w:sz w:val="20"/>
                <w:szCs w:val="20"/>
                <w:lang w:eastAsia="en-GB"/>
              </w:rPr>
            </w:pPr>
            <w:r w:rsidRPr="005C0C94">
              <w:rPr>
                <w:rFonts w:cs="Arial"/>
                <w:b/>
                <w:bCs/>
                <w:color w:val="000000"/>
                <w:sz w:val="20"/>
                <w:szCs w:val="20"/>
                <w:lang w:eastAsia="en-GB"/>
              </w:rPr>
              <w:t xml:space="preserve">PI </w:t>
            </w:r>
          </w:p>
        </w:tc>
        <w:tc>
          <w:tcPr>
            <w:tcW w:w="1559" w:type="dxa"/>
            <w:tcBorders>
              <w:top w:val="single" w:sz="8" w:space="0" w:color="auto"/>
              <w:left w:val="nil"/>
              <w:bottom w:val="single" w:sz="8" w:space="0" w:color="auto"/>
              <w:right w:val="single" w:sz="8" w:space="0" w:color="auto"/>
            </w:tcBorders>
            <w:shd w:val="clear" w:color="000000" w:fill="BFBFBF"/>
            <w:vAlign w:val="center"/>
            <w:hideMark/>
          </w:tcPr>
          <w:p w14:paraId="34FEFB91" w14:textId="77777777" w:rsidR="0098583D" w:rsidRPr="005C0C94" w:rsidRDefault="0098583D" w:rsidP="002432AC">
            <w:pPr>
              <w:jc w:val="center"/>
              <w:rPr>
                <w:rFonts w:cs="Arial"/>
                <w:b/>
                <w:bCs/>
                <w:color w:val="000000"/>
                <w:sz w:val="20"/>
                <w:szCs w:val="20"/>
                <w:lang w:eastAsia="en-GB"/>
              </w:rPr>
            </w:pPr>
            <w:r w:rsidRPr="005C0C94">
              <w:rPr>
                <w:rFonts w:cs="Arial"/>
                <w:b/>
                <w:bCs/>
                <w:color w:val="000000"/>
                <w:sz w:val="20"/>
                <w:szCs w:val="20"/>
                <w:lang w:eastAsia="en-GB"/>
              </w:rPr>
              <w:t>Performance Indicator</w:t>
            </w:r>
          </w:p>
        </w:tc>
        <w:tc>
          <w:tcPr>
            <w:tcW w:w="992" w:type="dxa"/>
            <w:tcBorders>
              <w:top w:val="single" w:sz="8" w:space="0" w:color="auto"/>
              <w:left w:val="nil"/>
              <w:bottom w:val="single" w:sz="8" w:space="0" w:color="auto"/>
              <w:right w:val="single" w:sz="8" w:space="0" w:color="auto"/>
            </w:tcBorders>
            <w:shd w:val="clear" w:color="000000" w:fill="BFBFBF"/>
            <w:vAlign w:val="center"/>
            <w:hideMark/>
          </w:tcPr>
          <w:p w14:paraId="3505C11E" w14:textId="755CF1D7" w:rsidR="0098583D" w:rsidRPr="005C0C94" w:rsidRDefault="0098583D" w:rsidP="002432AC">
            <w:pPr>
              <w:jc w:val="center"/>
              <w:rPr>
                <w:rFonts w:cs="Arial"/>
                <w:b/>
                <w:bCs/>
                <w:color w:val="000000"/>
                <w:sz w:val="20"/>
                <w:szCs w:val="20"/>
                <w:lang w:eastAsia="en-GB"/>
              </w:rPr>
            </w:pPr>
            <w:r w:rsidRPr="005C0C94">
              <w:rPr>
                <w:rFonts w:cs="Arial"/>
                <w:b/>
                <w:bCs/>
                <w:color w:val="000000"/>
                <w:sz w:val="20"/>
                <w:szCs w:val="20"/>
                <w:lang w:eastAsia="en-GB"/>
              </w:rPr>
              <w:t xml:space="preserve">RBF </w:t>
            </w:r>
            <w:r w:rsidR="004679E8">
              <w:rPr>
                <w:rFonts w:cs="Arial"/>
                <w:b/>
                <w:bCs/>
                <w:color w:val="000000"/>
                <w:sz w:val="20"/>
                <w:szCs w:val="20"/>
                <w:lang w:eastAsia="en-GB"/>
              </w:rPr>
              <w:t>required</w:t>
            </w:r>
            <w:r w:rsidR="00483E05">
              <w:rPr>
                <w:rFonts w:cs="Arial"/>
                <w:b/>
                <w:bCs/>
                <w:color w:val="000000"/>
                <w:sz w:val="20"/>
                <w:szCs w:val="20"/>
                <w:lang w:eastAsia="en-GB"/>
              </w:rPr>
              <w:t xml:space="preserve"> </w:t>
            </w:r>
            <w:r w:rsidRPr="005C0C94">
              <w:rPr>
                <w:rFonts w:cs="Arial"/>
                <w:b/>
                <w:bCs/>
                <w:color w:val="000000"/>
                <w:sz w:val="20"/>
                <w:szCs w:val="20"/>
                <w:lang w:eastAsia="en-GB"/>
              </w:rPr>
              <w:t>(y/n)</w:t>
            </w:r>
          </w:p>
        </w:tc>
        <w:tc>
          <w:tcPr>
            <w:tcW w:w="851" w:type="dxa"/>
            <w:tcBorders>
              <w:top w:val="single" w:sz="8" w:space="0" w:color="auto"/>
              <w:left w:val="nil"/>
              <w:bottom w:val="single" w:sz="8" w:space="0" w:color="auto"/>
              <w:right w:val="single" w:sz="8" w:space="0" w:color="auto"/>
            </w:tcBorders>
            <w:shd w:val="clear" w:color="000000" w:fill="BFBFBF"/>
            <w:vAlign w:val="center"/>
            <w:hideMark/>
          </w:tcPr>
          <w:p w14:paraId="38CE74C4" w14:textId="77777777" w:rsidR="0098583D" w:rsidRPr="005C0C94" w:rsidRDefault="0098583D" w:rsidP="002432AC">
            <w:pPr>
              <w:jc w:val="center"/>
              <w:rPr>
                <w:rFonts w:cs="Arial"/>
                <w:b/>
                <w:bCs/>
                <w:color w:val="000000"/>
                <w:sz w:val="20"/>
                <w:szCs w:val="20"/>
                <w:lang w:eastAsia="en-GB"/>
              </w:rPr>
            </w:pPr>
            <w:r w:rsidRPr="005C0C94">
              <w:rPr>
                <w:rFonts w:cs="Arial"/>
                <w:b/>
                <w:bCs/>
                <w:color w:val="000000"/>
                <w:sz w:val="20"/>
                <w:szCs w:val="20"/>
                <w:lang w:eastAsia="en-GB"/>
              </w:rPr>
              <w:t>Likely scoring level</w:t>
            </w:r>
          </w:p>
        </w:tc>
        <w:tc>
          <w:tcPr>
            <w:tcW w:w="8204" w:type="dxa"/>
            <w:tcBorders>
              <w:top w:val="single" w:sz="8" w:space="0" w:color="auto"/>
              <w:left w:val="single" w:sz="4" w:space="0" w:color="auto"/>
              <w:bottom w:val="single" w:sz="8" w:space="0" w:color="auto"/>
              <w:right w:val="single" w:sz="8" w:space="0" w:color="auto"/>
            </w:tcBorders>
            <w:shd w:val="clear" w:color="000000" w:fill="BFBFBF"/>
            <w:vAlign w:val="center"/>
            <w:hideMark/>
          </w:tcPr>
          <w:p w14:paraId="63624703" w14:textId="77777777" w:rsidR="0098583D" w:rsidRPr="005C0C94" w:rsidRDefault="0098583D" w:rsidP="002432AC">
            <w:pPr>
              <w:jc w:val="center"/>
              <w:rPr>
                <w:rFonts w:cs="Arial"/>
                <w:b/>
                <w:bCs/>
                <w:color w:val="000000"/>
                <w:sz w:val="20"/>
                <w:szCs w:val="20"/>
                <w:lang w:eastAsia="en-GB"/>
              </w:rPr>
            </w:pPr>
            <w:r w:rsidRPr="005C0C94">
              <w:rPr>
                <w:rFonts w:cs="Arial"/>
                <w:b/>
                <w:bCs/>
                <w:color w:val="000000"/>
                <w:sz w:val="20"/>
                <w:szCs w:val="20"/>
                <w:lang w:eastAsia="en-GB"/>
              </w:rPr>
              <w:t>Rationale/ Key points</w:t>
            </w:r>
          </w:p>
        </w:tc>
      </w:tr>
      <w:tr w:rsidR="00FA7D41" w:rsidRPr="005C0C94" w14:paraId="46BF1EFE" w14:textId="77777777" w:rsidTr="00FF0857">
        <w:trPr>
          <w:trHeight w:val="300"/>
        </w:trPr>
        <w:tc>
          <w:tcPr>
            <w:tcW w:w="1036" w:type="dxa"/>
            <w:vMerge w:val="restart"/>
            <w:tcBorders>
              <w:top w:val="nil"/>
              <w:left w:val="single" w:sz="8" w:space="0" w:color="auto"/>
              <w:right w:val="single" w:sz="8" w:space="0" w:color="auto"/>
            </w:tcBorders>
            <w:vAlign w:val="center"/>
          </w:tcPr>
          <w:p w14:paraId="32AF9ED3" w14:textId="3B367DE4" w:rsidR="00FA7D41" w:rsidRPr="00323770" w:rsidRDefault="00FA7D41" w:rsidP="008F313C">
            <w:pPr>
              <w:jc w:val="center"/>
              <w:rPr>
                <w:rFonts w:cs="Arial"/>
                <w:color w:val="000000"/>
                <w:sz w:val="20"/>
                <w:szCs w:val="20"/>
                <w:lang w:eastAsia="en-GB"/>
              </w:rPr>
            </w:pPr>
            <w:r w:rsidRPr="00323770">
              <w:rPr>
                <w:rFonts w:cs="Arial"/>
                <w:color w:val="000000"/>
                <w:sz w:val="20"/>
                <w:szCs w:val="20"/>
                <w:lang w:eastAsia="en-GB"/>
              </w:rPr>
              <w:t>1</w:t>
            </w:r>
          </w:p>
        </w:tc>
        <w:tc>
          <w:tcPr>
            <w:tcW w:w="1418" w:type="dxa"/>
            <w:vMerge w:val="restart"/>
            <w:tcBorders>
              <w:top w:val="nil"/>
              <w:left w:val="single" w:sz="8" w:space="0" w:color="auto"/>
              <w:right w:val="single" w:sz="8" w:space="0" w:color="auto"/>
            </w:tcBorders>
            <w:shd w:val="clear" w:color="auto" w:fill="auto"/>
            <w:vAlign w:val="center"/>
          </w:tcPr>
          <w:p w14:paraId="726EC8CC"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Outcome</w:t>
            </w:r>
          </w:p>
          <w:p w14:paraId="166CDCB2" w14:textId="77777777" w:rsidR="00FA7D41" w:rsidRPr="00323770" w:rsidRDefault="00FA7D41" w:rsidP="002432AC">
            <w:pPr>
              <w:rPr>
                <w:rFonts w:cs="Arial"/>
                <w:color w:val="000000"/>
                <w:sz w:val="20"/>
                <w:szCs w:val="20"/>
                <w:lang w:eastAsia="en-GB"/>
              </w:rPr>
            </w:pPr>
          </w:p>
        </w:tc>
        <w:tc>
          <w:tcPr>
            <w:tcW w:w="709" w:type="dxa"/>
            <w:tcBorders>
              <w:top w:val="nil"/>
              <w:left w:val="nil"/>
              <w:bottom w:val="single" w:sz="8" w:space="0" w:color="auto"/>
              <w:right w:val="single" w:sz="8" w:space="0" w:color="auto"/>
            </w:tcBorders>
            <w:shd w:val="clear" w:color="auto" w:fill="auto"/>
            <w:vAlign w:val="center"/>
          </w:tcPr>
          <w:p w14:paraId="695B5C8C" w14:textId="23FA0556"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1.1.1</w:t>
            </w:r>
          </w:p>
        </w:tc>
        <w:tc>
          <w:tcPr>
            <w:tcW w:w="1559" w:type="dxa"/>
            <w:tcBorders>
              <w:top w:val="nil"/>
              <w:left w:val="nil"/>
              <w:bottom w:val="single" w:sz="8" w:space="0" w:color="auto"/>
              <w:right w:val="single" w:sz="8" w:space="0" w:color="auto"/>
            </w:tcBorders>
            <w:shd w:val="clear" w:color="auto" w:fill="auto"/>
            <w:vAlign w:val="center"/>
          </w:tcPr>
          <w:p w14:paraId="70FA566D" w14:textId="49AB7EA5"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Stock status</w:t>
            </w:r>
          </w:p>
        </w:tc>
        <w:tc>
          <w:tcPr>
            <w:tcW w:w="992" w:type="dxa"/>
            <w:tcBorders>
              <w:top w:val="nil"/>
              <w:left w:val="nil"/>
              <w:bottom w:val="single" w:sz="8" w:space="0" w:color="auto"/>
              <w:right w:val="single" w:sz="8" w:space="0" w:color="auto"/>
            </w:tcBorders>
            <w:shd w:val="clear" w:color="auto" w:fill="auto"/>
            <w:vAlign w:val="center"/>
          </w:tcPr>
          <w:p w14:paraId="4ED27F32" w14:textId="46527C10"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N</w:t>
            </w:r>
          </w:p>
        </w:tc>
        <w:tc>
          <w:tcPr>
            <w:tcW w:w="851" w:type="dxa"/>
            <w:tcBorders>
              <w:top w:val="single" w:sz="8" w:space="0" w:color="auto"/>
              <w:left w:val="nil"/>
              <w:bottom w:val="single" w:sz="8" w:space="0" w:color="auto"/>
              <w:right w:val="single" w:sz="8" w:space="0" w:color="auto"/>
            </w:tcBorders>
            <w:shd w:val="clear" w:color="auto" w:fill="C2D69B" w:themeFill="accent3" w:themeFillTint="99"/>
            <w:vAlign w:val="center"/>
          </w:tcPr>
          <w:p w14:paraId="7C6674B5" w14:textId="2C8B1487" w:rsidR="00FA7D41" w:rsidRPr="00323770" w:rsidRDefault="000A39D4" w:rsidP="002432AC">
            <w:pPr>
              <w:rPr>
                <w:rFonts w:cs="Arial"/>
                <w:color w:val="000000"/>
                <w:lang w:eastAsia="en-GB"/>
              </w:rPr>
            </w:pPr>
            <w:r w:rsidRPr="00DA4A8C">
              <w:rPr>
                <w:rFonts w:cs="Arial"/>
                <w:color w:val="000000"/>
                <w:lang w:eastAsia="en-GB"/>
              </w:rPr>
              <w:t>≥80</w:t>
            </w:r>
          </w:p>
        </w:tc>
        <w:tc>
          <w:tcPr>
            <w:tcW w:w="8204" w:type="dxa"/>
            <w:tcBorders>
              <w:top w:val="nil"/>
              <w:left w:val="single" w:sz="4" w:space="0" w:color="auto"/>
              <w:bottom w:val="single" w:sz="8" w:space="0" w:color="auto"/>
              <w:right w:val="single" w:sz="8" w:space="0" w:color="auto"/>
            </w:tcBorders>
            <w:shd w:val="clear" w:color="auto" w:fill="auto"/>
            <w:vAlign w:val="center"/>
          </w:tcPr>
          <w:p w14:paraId="5AB953B1" w14:textId="3E385BA6" w:rsidR="00C4766B" w:rsidRPr="00EE5C1A" w:rsidRDefault="00C4766B" w:rsidP="002432AC">
            <w:pPr>
              <w:rPr>
                <w:rFonts w:cstheme="majorHAnsi"/>
                <w:color w:val="000000"/>
                <w:szCs w:val="22"/>
                <w:lang w:eastAsia="en-GB"/>
              </w:rPr>
            </w:pPr>
            <w:r w:rsidRPr="00EE5C1A">
              <w:rPr>
                <w:rFonts w:cstheme="majorHAnsi"/>
                <w:color w:val="000000"/>
                <w:szCs w:val="22"/>
                <w:lang w:eastAsia="en-GB"/>
              </w:rPr>
              <w:t>The most r</w:t>
            </w:r>
            <w:r w:rsidR="0023364D" w:rsidRPr="00EE5C1A">
              <w:rPr>
                <w:rFonts w:cstheme="majorHAnsi"/>
                <w:color w:val="000000"/>
                <w:szCs w:val="22"/>
                <w:lang w:eastAsia="en-GB"/>
              </w:rPr>
              <w:t>ecent (201</w:t>
            </w:r>
            <w:r w:rsidRPr="00EE5C1A">
              <w:rPr>
                <w:rFonts w:cstheme="majorHAnsi"/>
                <w:color w:val="000000"/>
                <w:szCs w:val="22"/>
                <w:lang w:eastAsia="en-GB"/>
              </w:rPr>
              <w:t>4</w:t>
            </w:r>
            <w:r w:rsidR="0023364D" w:rsidRPr="00EE5C1A">
              <w:rPr>
                <w:rFonts w:cstheme="majorHAnsi"/>
                <w:color w:val="000000"/>
                <w:szCs w:val="22"/>
                <w:lang w:eastAsia="en-GB"/>
              </w:rPr>
              <w:t xml:space="preserve">) </w:t>
            </w:r>
            <w:r w:rsidRPr="00EE5C1A">
              <w:rPr>
                <w:rFonts w:cstheme="majorHAnsi"/>
                <w:color w:val="000000"/>
                <w:szCs w:val="22"/>
                <w:lang w:eastAsia="en-GB"/>
              </w:rPr>
              <w:t xml:space="preserve">Cefas </w:t>
            </w:r>
            <w:r w:rsidR="0023364D" w:rsidRPr="00EE5C1A">
              <w:rPr>
                <w:rFonts w:cstheme="majorHAnsi"/>
                <w:color w:val="000000"/>
                <w:szCs w:val="22"/>
                <w:lang w:eastAsia="en-GB"/>
              </w:rPr>
              <w:t xml:space="preserve">assessment </w:t>
            </w:r>
            <w:r w:rsidRPr="00EE5C1A">
              <w:rPr>
                <w:rFonts w:cstheme="majorHAnsi"/>
                <w:color w:val="000000"/>
                <w:szCs w:val="22"/>
                <w:lang w:eastAsia="en-GB"/>
              </w:rPr>
              <w:t xml:space="preserve">of the Western English Channel edible crab stock (ICES areas VIIe &amp; h) </w:t>
            </w:r>
            <w:r w:rsidR="0023364D" w:rsidRPr="00EE5C1A">
              <w:rPr>
                <w:rFonts w:cstheme="majorHAnsi"/>
                <w:color w:val="000000"/>
                <w:szCs w:val="22"/>
                <w:lang w:eastAsia="en-GB"/>
              </w:rPr>
              <w:t>indicate</w:t>
            </w:r>
            <w:r w:rsidRPr="00EE5C1A">
              <w:rPr>
                <w:rFonts w:cstheme="majorHAnsi"/>
                <w:color w:val="000000"/>
                <w:szCs w:val="22"/>
                <w:lang w:eastAsia="en-GB"/>
              </w:rPr>
              <w:t xml:space="preserve">s </w:t>
            </w:r>
            <w:r w:rsidR="0023364D" w:rsidRPr="00EE5C1A">
              <w:rPr>
                <w:rFonts w:cstheme="majorHAnsi"/>
                <w:color w:val="000000"/>
                <w:szCs w:val="22"/>
                <w:lang w:eastAsia="en-GB"/>
              </w:rPr>
              <w:t xml:space="preserve">that </w:t>
            </w:r>
            <w:r w:rsidR="00452B5B" w:rsidRPr="00EE5C1A">
              <w:rPr>
                <w:rFonts w:cstheme="majorHAnsi"/>
                <w:color w:val="000000"/>
                <w:szCs w:val="22"/>
                <w:lang w:eastAsia="en-GB"/>
              </w:rPr>
              <w:t xml:space="preserve">it is </w:t>
            </w:r>
            <w:r w:rsidRPr="00EE5C1A">
              <w:rPr>
                <w:rFonts w:cstheme="majorHAnsi"/>
                <w:color w:val="000000"/>
                <w:szCs w:val="22"/>
                <w:lang w:eastAsia="en-GB"/>
              </w:rPr>
              <w:t xml:space="preserve">at </w:t>
            </w:r>
            <w:proofErr w:type="spellStart"/>
            <w:r w:rsidRPr="00EE5C1A">
              <w:rPr>
                <w:rFonts w:cstheme="majorHAnsi"/>
                <w:color w:val="000000"/>
                <w:szCs w:val="22"/>
                <w:lang w:eastAsia="en-GB"/>
              </w:rPr>
              <w:t>MSY</w:t>
            </w:r>
            <w:r w:rsidRPr="00EE5C1A">
              <w:rPr>
                <w:rFonts w:cstheme="majorHAnsi"/>
                <w:color w:val="000000"/>
                <w:szCs w:val="22"/>
                <w:vertAlign w:val="subscript"/>
                <w:lang w:eastAsia="en-GB"/>
              </w:rPr>
              <w:t>target</w:t>
            </w:r>
            <w:proofErr w:type="spellEnd"/>
            <w:r w:rsidRPr="00EE5C1A">
              <w:rPr>
                <w:rFonts w:cstheme="majorHAnsi"/>
                <w:color w:val="000000"/>
                <w:szCs w:val="22"/>
                <w:lang w:eastAsia="en-GB"/>
              </w:rPr>
              <w:t xml:space="preserve"> and that the exploitation rate is around the level generating MSY (females above, males below).  The status of the stock has not changed since the previous assessment in 2012.</w:t>
            </w:r>
          </w:p>
          <w:p w14:paraId="188D2CED" w14:textId="77777777" w:rsidR="00452B5B" w:rsidRPr="00EE5C1A" w:rsidRDefault="00C4766B" w:rsidP="00C4766B">
            <w:pPr>
              <w:rPr>
                <w:rFonts w:cstheme="majorHAnsi"/>
                <w:color w:val="000000"/>
                <w:szCs w:val="22"/>
              </w:rPr>
            </w:pPr>
            <w:r w:rsidRPr="00EE5C1A">
              <w:rPr>
                <w:rFonts w:cstheme="majorHAnsi"/>
                <w:color w:val="000000"/>
                <w:szCs w:val="22"/>
                <w:lang w:eastAsia="en-GB"/>
              </w:rPr>
              <w:t xml:space="preserve">Exploitation rates show slight continuing decline in recent years, whilst there is some evidence that the introduction of </w:t>
            </w:r>
            <w:r w:rsidRPr="00EE5C1A">
              <w:rPr>
                <w:rFonts w:cstheme="majorHAnsi"/>
                <w:color w:val="000000"/>
                <w:szCs w:val="22"/>
              </w:rPr>
              <w:t xml:space="preserve">the Restrictive Shellfish License Scheme and Buyers and Sellers legislation </w:t>
            </w:r>
            <w:r w:rsidR="00452B5B" w:rsidRPr="00EE5C1A">
              <w:rPr>
                <w:rFonts w:cstheme="majorHAnsi"/>
                <w:color w:val="000000"/>
                <w:szCs w:val="22"/>
              </w:rPr>
              <w:t xml:space="preserve">has resulted in fishing activity data being </w:t>
            </w:r>
            <w:r w:rsidRPr="00EE5C1A">
              <w:rPr>
                <w:rFonts w:cstheme="majorHAnsi"/>
                <w:color w:val="000000"/>
                <w:szCs w:val="22"/>
              </w:rPr>
              <w:t>generally more reliable.</w:t>
            </w:r>
          </w:p>
          <w:p w14:paraId="019831E7" w14:textId="571F2F5D" w:rsidR="00895B33" w:rsidRPr="00452B5B" w:rsidRDefault="00452B5B" w:rsidP="00C4766B">
            <w:pPr>
              <w:rPr>
                <w:rFonts w:ascii="Arial" w:hAnsi="Arial" w:cs="Arial"/>
                <w:color w:val="000000"/>
                <w:sz w:val="20"/>
                <w:szCs w:val="20"/>
              </w:rPr>
            </w:pPr>
            <w:r w:rsidRPr="00EE5C1A">
              <w:rPr>
                <w:rFonts w:cstheme="majorHAnsi"/>
                <w:color w:val="000000"/>
                <w:szCs w:val="22"/>
              </w:rPr>
              <w:t xml:space="preserve">2013 data suggests exploitation </w:t>
            </w:r>
            <w:r w:rsidR="006038A2">
              <w:rPr>
                <w:rFonts w:cstheme="majorHAnsi"/>
                <w:color w:val="000000"/>
                <w:szCs w:val="22"/>
              </w:rPr>
              <w:t xml:space="preserve">within this stock unit </w:t>
            </w:r>
            <w:r w:rsidRPr="00EE5C1A">
              <w:rPr>
                <w:rFonts w:cstheme="majorHAnsi"/>
                <w:color w:val="000000"/>
                <w:szCs w:val="22"/>
              </w:rPr>
              <w:t>by a fleet of 221 under 10m vessels, and 38 over 10m vessels, apply an average of 41 and 96 vessel days fishing (noting that a proportion of the under 10m fleet is inactive or fished on a part-time basis) (&gt;SG80).</w:t>
            </w:r>
            <w:r w:rsidR="00895B33" w:rsidRPr="00EE5C1A">
              <w:rPr>
                <w:rFonts w:cstheme="majorHAnsi"/>
              </w:rPr>
              <w:t xml:space="preserve"> </w:t>
            </w:r>
          </w:p>
        </w:tc>
      </w:tr>
      <w:tr w:rsidR="00FA7D41" w:rsidRPr="005C0C94" w14:paraId="2F840200" w14:textId="77777777" w:rsidTr="00483E05">
        <w:trPr>
          <w:trHeight w:val="300"/>
        </w:trPr>
        <w:tc>
          <w:tcPr>
            <w:tcW w:w="1036" w:type="dxa"/>
            <w:vMerge/>
            <w:tcBorders>
              <w:left w:val="single" w:sz="8" w:space="0" w:color="auto"/>
              <w:right w:val="single" w:sz="8" w:space="0" w:color="auto"/>
            </w:tcBorders>
          </w:tcPr>
          <w:p w14:paraId="0DBAB4E2" w14:textId="27F7090A" w:rsidR="00FA7D41" w:rsidRPr="00323770" w:rsidRDefault="00FA7D41" w:rsidP="002432AC">
            <w:pPr>
              <w:rPr>
                <w:rFonts w:cs="Arial"/>
                <w:color w:val="000000"/>
                <w:sz w:val="20"/>
                <w:szCs w:val="20"/>
                <w:lang w:eastAsia="en-GB"/>
              </w:rPr>
            </w:pPr>
          </w:p>
        </w:tc>
        <w:tc>
          <w:tcPr>
            <w:tcW w:w="1418" w:type="dxa"/>
            <w:vMerge/>
            <w:tcBorders>
              <w:left w:val="single" w:sz="8" w:space="0" w:color="auto"/>
              <w:bottom w:val="single" w:sz="8" w:space="0" w:color="auto"/>
              <w:right w:val="single" w:sz="8" w:space="0" w:color="auto"/>
            </w:tcBorders>
            <w:shd w:val="clear" w:color="auto" w:fill="auto"/>
            <w:vAlign w:val="center"/>
            <w:hideMark/>
          </w:tcPr>
          <w:p w14:paraId="4EB9F4C1" w14:textId="77777777" w:rsidR="00FA7D41" w:rsidRPr="00323770" w:rsidRDefault="00FA7D41" w:rsidP="002432AC">
            <w:pPr>
              <w:rPr>
                <w:rFonts w:cs="Arial"/>
                <w:color w:val="000000"/>
                <w:sz w:val="20"/>
                <w:szCs w:val="20"/>
                <w:lang w:eastAsia="en-GB"/>
              </w:rPr>
            </w:pPr>
          </w:p>
        </w:tc>
        <w:tc>
          <w:tcPr>
            <w:tcW w:w="709" w:type="dxa"/>
            <w:tcBorders>
              <w:top w:val="nil"/>
              <w:left w:val="nil"/>
              <w:bottom w:val="single" w:sz="8" w:space="0" w:color="auto"/>
              <w:right w:val="single" w:sz="8" w:space="0" w:color="auto"/>
            </w:tcBorders>
            <w:shd w:val="clear" w:color="auto" w:fill="auto"/>
            <w:vAlign w:val="center"/>
          </w:tcPr>
          <w:p w14:paraId="4EEF61DC" w14:textId="66994E33"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1.1.</w:t>
            </w:r>
            <w:r w:rsidR="009225C9" w:rsidRPr="00323770">
              <w:rPr>
                <w:rFonts w:cs="Arial"/>
                <w:color w:val="000000"/>
                <w:sz w:val="20"/>
                <w:szCs w:val="20"/>
                <w:lang w:eastAsia="en-GB"/>
              </w:rPr>
              <w:t>2</w:t>
            </w:r>
          </w:p>
        </w:tc>
        <w:tc>
          <w:tcPr>
            <w:tcW w:w="1559" w:type="dxa"/>
            <w:tcBorders>
              <w:top w:val="nil"/>
              <w:left w:val="nil"/>
              <w:bottom w:val="single" w:sz="8" w:space="0" w:color="auto"/>
              <w:right w:val="single" w:sz="8" w:space="0" w:color="auto"/>
            </w:tcBorders>
            <w:shd w:val="clear" w:color="auto" w:fill="auto"/>
            <w:vAlign w:val="center"/>
          </w:tcPr>
          <w:p w14:paraId="508A1547" w14:textId="0CD59E53"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Stock rebuilding</w:t>
            </w:r>
          </w:p>
        </w:tc>
        <w:tc>
          <w:tcPr>
            <w:tcW w:w="992" w:type="dxa"/>
            <w:tcBorders>
              <w:top w:val="nil"/>
              <w:left w:val="nil"/>
              <w:bottom w:val="single" w:sz="8" w:space="0" w:color="auto"/>
              <w:right w:val="single" w:sz="8" w:space="0" w:color="auto"/>
            </w:tcBorders>
            <w:shd w:val="clear" w:color="auto" w:fill="auto"/>
            <w:vAlign w:val="center"/>
          </w:tcPr>
          <w:p w14:paraId="5C5F3542" w14:textId="3663BE1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N</w:t>
            </w:r>
            <w:r w:rsidR="008803A1">
              <w:rPr>
                <w:rFonts w:cs="Arial"/>
                <w:color w:val="000000"/>
                <w:sz w:val="20"/>
                <w:szCs w:val="20"/>
                <w:lang w:eastAsia="en-GB"/>
              </w:rPr>
              <w:t>/</w:t>
            </w:r>
            <w:r w:rsidRPr="00323770">
              <w:rPr>
                <w:rFonts w:cs="Arial"/>
                <w:color w:val="000000"/>
                <w:sz w:val="20"/>
                <w:szCs w:val="20"/>
                <w:lang w:eastAsia="en-GB"/>
              </w:rPr>
              <w:t>A</w:t>
            </w:r>
          </w:p>
        </w:tc>
        <w:tc>
          <w:tcPr>
            <w:tcW w:w="851" w:type="dxa"/>
            <w:tcBorders>
              <w:top w:val="single" w:sz="8" w:space="0" w:color="auto"/>
              <w:left w:val="nil"/>
              <w:bottom w:val="single" w:sz="8" w:space="0" w:color="auto"/>
              <w:right w:val="single" w:sz="8" w:space="0" w:color="auto"/>
            </w:tcBorders>
            <w:shd w:val="clear" w:color="auto" w:fill="auto"/>
            <w:vAlign w:val="center"/>
          </w:tcPr>
          <w:p w14:paraId="4B8B1777" w14:textId="1C5139F5" w:rsidR="00FA7D41" w:rsidRPr="00323770" w:rsidRDefault="004C450B" w:rsidP="002432AC">
            <w:pPr>
              <w:rPr>
                <w:rFonts w:cs="Arial"/>
                <w:color w:val="000000"/>
                <w:lang w:eastAsia="en-GB"/>
              </w:rPr>
            </w:pPr>
            <w:r>
              <w:rPr>
                <w:rFonts w:cs="Arial"/>
                <w:color w:val="000000"/>
                <w:lang w:eastAsia="en-GB"/>
              </w:rPr>
              <w:t>N/A</w:t>
            </w:r>
          </w:p>
        </w:tc>
        <w:tc>
          <w:tcPr>
            <w:tcW w:w="8204" w:type="dxa"/>
            <w:tcBorders>
              <w:top w:val="nil"/>
              <w:left w:val="single" w:sz="4" w:space="0" w:color="auto"/>
              <w:bottom w:val="single" w:sz="8" w:space="0" w:color="auto"/>
              <w:right w:val="single" w:sz="8" w:space="0" w:color="auto"/>
            </w:tcBorders>
            <w:shd w:val="clear" w:color="auto" w:fill="auto"/>
            <w:vAlign w:val="center"/>
          </w:tcPr>
          <w:p w14:paraId="32101F0D" w14:textId="724E9CDD" w:rsidR="00895B33" w:rsidRPr="00452B5B" w:rsidRDefault="00452B5B" w:rsidP="002432AC">
            <w:pPr>
              <w:rPr>
                <w:rFonts w:ascii="Calibri" w:hAnsi="Calibri" w:cs="Calibri"/>
                <w:color w:val="000000"/>
                <w:szCs w:val="22"/>
                <w:lang w:eastAsia="en-GB"/>
              </w:rPr>
            </w:pPr>
            <w:r>
              <w:rPr>
                <w:rFonts w:ascii="Calibri" w:hAnsi="Calibri" w:cs="Calibri"/>
                <w:color w:val="000000"/>
                <w:szCs w:val="22"/>
                <w:lang w:eastAsia="en-GB"/>
              </w:rPr>
              <w:t xml:space="preserve">As stock is at </w:t>
            </w:r>
            <w:proofErr w:type="spellStart"/>
            <w:r>
              <w:rPr>
                <w:rFonts w:ascii="Calibri" w:hAnsi="Calibri" w:cs="Calibri"/>
                <w:color w:val="000000"/>
                <w:szCs w:val="22"/>
                <w:lang w:eastAsia="en-GB"/>
              </w:rPr>
              <w:t>MSY</w:t>
            </w:r>
            <w:r w:rsidRPr="00452B5B">
              <w:rPr>
                <w:rFonts w:ascii="Calibri" w:hAnsi="Calibri" w:cs="Calibri"/>
                <w:color w:val="000000"/>
                <w:szCs w:val="22"/>
                <w:vertAlign w:val="subscript"/>
                <w:lang w:eastAsia="en-GB"/>
              </w:rPr>
              <w:t>target</w:t>
            </w:r>
            <w:proofErr w:type="spellEnd"/>
            <w:r>
              <w:rPr>
                <w:rFonts w:ascii="Calibri" w:hAnsi="Calibri" w:cs="Calibri"/>
                <w:color w:val="000000"/>
                <w:szCs w:val="22"/>
                <w:lang w:eastAsia="en-GB"/>
              </w:rPr>
              <w:t>, and exploitation at levels generating MSY, stock rebuilding is not applicable.</w:t>
            </w:r>
          </w:p>
        </w:tc>
      </w:tr>
      <w:tr w:rsidR="00FA7D41" w:rsidRPr="005C0C94" w14:paraId="57A2BBCF" w14:textId="77777777" w:rsidTr="00FF0857">
        <w:trPr>
          <w:trHeight w:val="540"/>
        </w:trPr>
        <w:tc>
          <w:tcPr>
            <w:tcW w:w="1036" w:type="dxa"/>
            <w:vMerge/>
            <w:tcBorders>
              <w:left w:val="single" w:sz="8" w:space="0" w:color="auto"/>
              <w:right w:val="single" w:sz="8" w:space="0" w:color="auto"/>
            </w:tcBorders>
          </w:tcPr>
          <w:p w14:paraId="764D9064" w14:textId="6184741A" w:rsidR="00FA7D41" w:rsidRPr="00323770" w:rsidRDefault="00FA7D41" w:rsidP="002432AC">
            <w:pPr>
              <w:rPr>
                <w:rFonts w:cs="Arial"/>
                <w:color w:val="000000"/>
                <w:sz w:val="20"/>
                <w:szCs w:val="20"/>
                <w:lang w:eastAsia="en-GB"/>
              </w:rPr>
            </w:pPr>
          </w:p>
        </w:tc>
        <w:tc>
          <w:tcPr>
            <w:tcW w:w="1418" w:type="dxa"/>
            <w:vMerge w:val="restart"/>
            <w:tcBorders>
              <w:top w:val="nil"/>
              <w:left w:val="single" w:sz="8" w:space="0" w:color="auto"/>
              <w:right w:val="single" w:sz="8" w:space="0" w:color="auto"/>
            </w:tcBorders>
            <w:shd w:val="clear" w:color="auto" w:fill="auto"/>
            <w:vAlign w:val="center"/>
            <w:hideMark/>
          </w:tcPr>
          <w:p w14:paraId="18A936BB"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Management</w:t>
            </w:r>
          </w:p>
          <w:p w14:paraId="2EA554B7" w14:textId="77777777" w:rsidR="00FA7D41" w:rsidRPr="00323770" w:rsidRDefault="00FA7D41" w:rsidP="002432AC">
            <w:pPr>
              <w:rPr>
                <w:rFonts w:cs="Arial"/>
                <w:color w:val="000000"/>
                <w:sz w:val="20"/>
                <w:szCs w:val="20"/>
                <w:lang w:eastAsia="en-GB"/>
              </w:rPr>
            </w:pPr>
          </w:p>
        </w:tc>
        <w:tc>
          <w:tcPr>
            <w:tcW w:w="709" w:type="dxa"/>
            <w:tcBorders>
              <w:top w:val="nil"/>
              <w:left w:val="nil"/>
              <w:bottom w:val="single" w:sz="8" w:space="0" w:color="auto"/>
              <w:right w:val="single" w:sz="8" w:space="0" w:color="auto"/>
            </w:tcBorders>
            <w:shd w:val="clear" w:color="auto" w:fill="auto"/>
            <w:vAlign w:val="center"/>
            <w:hideMark/>
          </w:tcPr>
          <w:p w14:paraId="17AFAD7A"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1.2.1</w:t>
            </w:r>
          </w:p>
        </w:tc>
        <w:tc>
          <w:tcPr>
            <w:tcW w:w="1559" w:type="dxa"/>
            <w:tcBorders>
              <w:top w:val="nil"/>
              <w:left w:val="nil"/>
              <w:bottom w:val="single" w:sz="8" w:space="0" w:color="auto"/>
              <w:right w:val="single" w:sz="8" w:space="0" w:color="auto"/>
            </w:tcBorders>
            <w:shd w:val="clear" w:color="auto" w:fill="auto"/>
            <w:vAlign w:val="center"/>
            <w:hideMark/>
          </w:tcPr>
          <w:p w14:paraId="499ECF40"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Harvest Strategy</w:t>
            </w:r>
          </w:p>
        </w:tc>
        <w:tc>
          <w:tcPr>
            <w:tcW w:w="992" w:type="dxa"/>
            <w:tcBorders>
              <w:top w:val="nil"/>
              <w:left w:val="nil"/>
              <w:bottom w:val="single" w:sz="8" w:space="0" w:color="auto"/>
              <w:right w:val="single" w:sz="8" w:space="0" w:color="auto"/>
            </w:tcBorders>
            <w:shd w:val="clear" w:color="auto" w:fill="auto"/>
            <w:vAlign w:val="center"/>
          </w:tcPr>
          <w:p w14:paraId="6C81B159" w14:textId="77E669B4" w:rsidR="00FA7D41" w:rsidRPr="00323770" w:rsidRDefault="00FA7D41" w:rsidP="002432AC">
            <w:pPr>
              <w:rPr>
                <w:rFonts w:cs="Arial"/>
                <w:color w:val="000000"/>
                <w:sz w:val="20"/>
                <w:szCs w:val="20"/>
                <w:lang w:eastAsia="en-GB"/>
              </w:rPr>
            </w:pPr>
          </w:p>
        </w:tc>
        <w:tc>
          <w:tcPr>
            <w:tcW w:w="851" w:type="dxa"/>
            <w:tcBorders>
              <w:top w:val="single" w:sz="8" w:space="0" w:color="auto"/>
              <w:left w:val="nil"/>
              <w:bottom w:val="single" w:sz="8" w:space="0" w:color="auto"/>
              <w:right w:val="single" w:sz="8" w:space="0" w:color="auto"/>
            </w:tcBorders>
            <w:shd w:val="clear" w:color="auto" w:fill="D99594" w:themeFill="accent2" w:themeFillTint="99"/>
            <w:vAlign w:val="center"/>
          </w:tcPr>
          <w:p w14:paraId="467DA123" w14:textId="1149A472" w:rsidR="00FA7D41" w:rsidRPr="00323770" w:rsidRDefault="00FF0857" w:rsidP="000A39D4">
            <w:pPr>
              <w:rPr>
                <w:rFonts w:cs="Arial"/>
                <w:color w:val="000000"/>
                <w:lang w:eastAsia="en-GB"/>
              </w:rPr>
            </w:pPr>
            <w:r>
              <w:rPr>
                <w:rFonts w:cs="Arial"/>
                <w:color w:val="000000"/>
                <w:lang w:eastAsia="en-GB"/>
              </w:rPr>
              <w:t>&lt;60</w:t>
            </w:r>
          </w:p>
        </w:tc>
        <w:tc>
          <w:tcPr>
            <w:tcW w:w="8204" w:type="dxa"/>
            <w:tcBorders>
              <w:top w:val="nil"/>
              <w:left w:val="single" w:sz="4" w:space="0" w:color="auto"/>
              <w:bottom w:val="single" w:sz="8" w:space="0" w:color="auto"/>
              <w:right w:val="single" w:sz="8" w:space="0" w:color="auto"/>
            </w:tcBorders>
            <w:shd w:val="clear" w:color="auto" w:fill="auto"/>
            <w:vAlign w:val="center"/>
          </w:tcPr>
          <w:p w14:paraId="07EC5E06" w14:textId="6B635D9D" w:rsidR="00BD7801" w:rsidRDefault="00EE5C1A" w:rsidP="0049311E">
            <w:pPr>
              <w:rPr>
                <w:rFonts w:ascii="Calibri" w:hAnsi="Calibri" w:cs="Calibri"/>
                <w:color w:val="000000"/>
                <w:szCs w:val="22"/>
                <w:lang w:eastAsia="en-GB"/>
              </w:rPr>
            </w:pPr>
            <w:r>
              <w:rPr>
                <w:rFonts w:ascii="Calibri" w:hAnsi="Calibri" w:cs="Calibri"/>
                <w:color w:val="000000"/>
                <w:szCs w:val="22"/>
                <w:lang w:eastAsia="en-GB"/>
              </w:rPr>
              <w:t xml:space="preserve">Stock assessment includes establishment of a minimum biomass reference point limit and </w:t>
            </w:r>
            <w:proofErr w:type="spellStart"/>
            <w:r>
              <w:rPr>
                <w:rFonts w:ascii="Calibri" w:hAnsi="Calibri" w:cs="Calibri"/>
                <w:color w:val="000000"/>
                <w:szCs w:val="22"/>
                <w:lang w:eastAsia="en-GB"/>
              </w:rPr>
              <w:t>MSY</w:t>
            </w:r>
            <w:r w:rsidRPr="00EE5C1A">
              <w:rPr>
                <w:rFonts w:ascii="Calibri" w:hAnsi="Calibri" w:cs="Calibri"/>
                <w:color w:val="000000"/>
                <w:szCs w:val="22"/>
                <w:vertAlign w:val="subscript"/>
                <w:lang w:eastAsia="en-GB"/>
              </w:rPr>
              <w:t>target</w:t>
            </w:r>
            <w:proofErr w:type="spellEnd"/>
            <w:r>
              <w:rPr>
                <w:rFonts w:ascii="Calibri" w:hAnsi="Calibri" w:cs="Calibri"/>
                <w:color w:val="000000"/>
                <w:szCs w:val="22"/>
                <w:lang w:eastAsia="en-GB"/>
              </w:rPr>
              <w:t>, and</w:t>
            </w:r>
            <w:r w:rsidR="006038A2">
              <w:rPr>
                <w:rFonts w:ascii="Calibri" w:hAnsi="Calibri" w:cs="Calibri"/>
                <w:color w:val="000000"/>
                <w:szCs w:val="22"/>
                <w:lang w:eastAsia="en-GB"/>
              </w:rPr>
              <w:t xml:space="preserve"> fishing reference points of </w:t>
            </w:r>
            <w:r>
              <w:rPr>
                <w:rFonts w:ascii="Calibri" w:hAnsi="Calibri" w:cs="Calibri"/>
                <w:color w:val="000000"/>
                <w:szCs w:val="22"/>
                <w:lang w:eastAsia="en-GB"/>
              </w:rPr>
              <w:t>F</w:t>
            </w:r>
            <w:r w:rsidRPr="00EE5C1A">
              <w:rPr>
                <w:rFonts w:ascii="Calibri" w:hAnsi="Calibri" w:cs="Calibri"/>
                <w:color w:val="000000"/>
                <w:szCs w:val="22"/>
                <w:vertAlign w:val="subscript"/>
                <w:lang w:eastAsia="en-GB"/>
              </w:rPr>
              <w:t>MSY</w:t>
            </w:r>
            <w:r>
              <w:rPr>
                <w:rFonts w:ascii="Calibri" w:hAnsi="Calibri" w:cs="Calibri"/>
                <w:color w:val="000000"/>
                <w:szCs w:val="22"/>
                <w:lang w:eastAsia="en-GB"/>
              </w:rPr>
              <w:t xml:space="preserve"> and a maximum reference point limit</w:t>
            </w:r>
            <w:r w:rsidR="00BD7801">
              <w:rPr>
                <w:rFonts w:ascii="Calibri" w:hAnsi="Calibri" w:cs="Calibri"/>
                <w:color w:val="000000"/>
                <w:szCs w:val="22"/>
                <w:lang w:eastAsia="en-GB"/>
              </w:rPr>
              <w:t xml:space="preserve">.  Whilst </w:t>
            </w:r>
            <w:r>
              <w:rPr>
                <w:rFonts w:ascii="Calibri" w:hAnsi="Calibri" w:cs="Calibri"/>
                <w:color w:val="000000"/>
                <w:szCs w:val="22"/>
                <w:lang w:eastAsia="en-GB"/>
              </w:rPr>
              <w:t xml:space="preserve">there is a presumption that management seeks to achieve stocks </w:t>
            </w:r>
            <w:r w:rsidR="00BD7801">
              <w:rPr>
                <w:rFonts w:ascii="Calibri" w:hAnsi="Calibri" w:cs="Calibri"/>
                <w:color w:val="000000"/>
                <w:szCs w:val="22"/>
                <w:lang w:eastAsia="en-GB"/>
              </w:rPr>
              <w:t xml:space="preserve">at </w:t>
            </w:r>
            <w:proofErr w:type="spellStart"/>
            <w:r w:rsidR="00BD7801">
              <w:rPr>
                <w:rFonts w:ascii="Calibri" w:hAnsi="Calibri" w:cs="Calibri"/>
                <w:color w:val="000000"/>
                <w:szCs w:val="22"/>
                <w:lang w:eastAsia="en-GB"/>
              </w:rPr>
              <w:t>MSY</w:t>
            </w:r>
            <w:r w:rsidR="00BD7801" w:rsidRPr="00BD7801">
              <w:rPr>
                <w:rFonts w:ascii="Calibri" w:hAnsi="Calibri" w:cs="Calibri"/>
                <w:color w:val="000000"/>
                <w:szCs w:val="22"/>
                <w:vertAlign w:val="subscript"/>
                <w:lang w:eastAsia="en-GB"/>
              </w:rPr>
              <w:t>target</w:t>
            </w:r>
            <w:proofErr w:type="spellEnd"/>
            <w:r w:rsidR="00BD7801">
              <w:rPr>
                <w:rFonts w:ascii="Calibri" w:hAnsi="Calibri" w:cs="Calibri"/>
                <w:color w:val="000000"/>
                <w:szCs w:val="22"/>
                <w:lang w:eastAsia="en-GB"/>
              </w:rPr>
              <w:t xml:space="preserve">, these are not explicitly reflected in the management of the fisheries within the region.  </w:t>
            </w:r>
          </w:p>
          <w:p w14:paraId="5E0B496B" w14:textId="77777777" w:rsidR="006038A2" w:rsidRDefault="00BD7801" w:rsidP="0049311E">
            <w:pPr>
              <w:rPr>
                <w:rFonts w:ascii="Calibri" w:hAnsi="Calibri" w:cs="Calibri"/>
                <w:color w:val="000000"/>
                <w:szCs w:val="22"/>
                <w:lang w:eastAsia="en-GB"/>
              </w:rPr>
            </w:pPr>
            <w:r>
              <w:rPr>
                <w:rFonts w:ascii="Calibri" w:hAnsi="Calibri" w:cs="Calibri"/>
                <w:color w:val="000000"/>
                <w:szCs w:val="22"/>
                <w:lang w:eastAsia="en-GB"/>
              </w:rPr>
              <w:t>The following controls seek to achieve a reasonable balance between stock strength and fishing effort and exploitation, but they do not constitute a coherent integrated harvest strategy, and lack any adaptive management component</w:t>
            </w:r>
            <w:r w:rsidR="006038A2">
              <w:rPr>
                <w:rFonts w:ascii="Calibri" w:hAnsi="Calibri" w:cs="Calibri"/>
                <w:color w:val="000000"/>
                <w:szCs w:val="22"/>
                <w:lang w:eastAsia="en-GB"/>
              </w:rPr>
              <w:t>:</w:t>
            </w:r>
          </w:p>
          <w:p w14:paraId="30F41CF3" w14:textId="77777777" w:rsidR="006038A2" w:rsidRDefault="0049311E" w:rsidP="006038A2">
            <w:pPr>
              <w:pStyle w:val="ListParagraph"/>
              <w:numPr>
                <w:ilvl w:val="0"/>
                <w:numId w:val="28"/>
              </w:numPr>
              <w:rPr>
                <w:rFonts w:ascii="Calibri" w:hAnsi="Calibri" w:cs="Calibri"/>
                <w:color w:val="000000"/>
                <w:szCs w:val="22"/>
                <w:lang w:eastAsia="en-GB"/>
              </w:rPr>
            </w:pPr>
            <w:r w:rsidRPr="006038A2">
              <w:rPr>
                <w:rFonts w:ascii="Calibri" w:hAnsi="Calibri" w:cs="Calibri"/>
                <w:color w:val="000000"/>
                <w:szCs w:val="22"/>
                <w:lang w:eastAsia="en-GB"/>
              </w:rPr>
              <w:t xml:space="preserve">The fishery is subject to minimum size rules (with some area based variation), </w:t>
            </w:r>
            <w:r w:rsidR="004B681D" w:rsidRPr="006038A2">
              <w:rPr>
                <w:rFonts w:ascii="Calibri" w:hAnsi="Calibri" w:cs="Calibri"/>
                <w:color w:val="000000"/>
                <w:szCs w:val="22"/>
                <w:lang w:eastAsia="en-GB"/>
              </w:rPr>
              <w:t xml:space="preserve">vessels over 15m in size are subject to effort limits under the EU Western Waters Regime, </w:t>
            </w:r>
            <w:r w:rsidR="004B681D" w:rsidRPr="006038A2">
              <w:rPr>
                <w:rFonts w:ascii="Calibri" w:hAnsi="Calibri" w:cs="Calibri"/>
                <w:color w:val="000000"/>
                <w:szCs w:val="22"/>
                <w:lang w:eastAsia="en-GB"/>
              </w:rPr>
              <w:lastRenderedPageBreak/>
              <w:t xml:space="preserve">and there are other length based restrictions with regard to fishing in IFCA areas.  </w:t>
            </w:r>
          </w:p>
          <w:p w14:paraId="55AD5FDE" w14:textId="77777777" w:rsidR="006038A2" w:rsidRDefault="004B681D" w:rsidP="006038A2">
            <w:pPr>
              <w:pStyle w:val="ListParagraph"/>
              <w:numPr>
                <w:ilvl w:val="0"/>
                <w:numId w:val="28"/>
              </w:numPr>
              <w:rPr>
                <w:rFonts w:ascii="Calibri" w:hAnsi="Calibri" w:cs="Calibri"/>
                <w:color w:val="000000"/>
                <w:szCs w:val="22"/>
                <w:lang w:eastAsia="en-GB"/>
              </w:rPr>
            </w:pPr>
            <w:r w:rsidRPr="006038A2">
              <w:rPr>
                <w:rFonts w:ascii="Calibri" w:hAnsi="Calibri" w:cs="Calibri"/>
                <w:color w:val="000000"/>
                <w:szCs w:val="22"/>
                <w:lang w:eastAsia="en-GB"/>
              </w:rPr>
              <w:t xml:space="preserve">There are no limits on the number of pots that can be set.  </w:t>
            </w:r>
          </w:p>
          <w:p w14:paraId="73292D1D" w14:textId="44588AF3" w:rsidR="00895B33" w:rsidRDefault="0049311E" w:rsidP="006038A2">
            <w:pPr>
              <w:pStyle w:val="ListParagraph"/>
              <w:numPr>
                <w:ilvl w:val="0"/>
                <w:numId w:val="28"/>
              </w:numPr>
              <w:rPr>
                <w:rFonts w:ascii="Calibri" w:hAnsi="Calibri" w:cs="Calibri"/>
                <w:color w:val="000000"/>
                <w:szCs w:val="22"/>
                <w:lang w:eastAsia="en-GB"/>
              </w:rPr>
            </w:pPr>
            <w:r w:rsidRPr="006038A2">
              <w:rPr>
                <w:rFonts w:ascii="Calibri" w:hAnsi="Calibri" w:cs="Calibri"/>
                <w:color w:val="000000"/>
                <w:szCs w:val="22"/>
                <w:lang w:eastAsia="en-GB"/>
              </w:rPr>
              <w:t>T</w:t>
            </w:r>
            <w:r w:rsidR="004B681D" w:rsidRPr="006038A2">
              <w:rPr>
                <w:rFonts w:ascii="Calibri" w:hAnsi="Calibri" w:cs="Calibri"/>
                <w:color w:val="000000"/>
                <w:szCs w:val="22"/>
                <w:lang w:eastAsia="en-GB"/>
              </w:rPr>
              <w:t>here are some specific seasonal l</w:t>
            </w:r>
            <w:r w:rsidRPr="006038A2">
              <w:rPr>
                <w:rFonts w:ascii="Calibri" w:hAnsi="Calibri" w:cs="Calibri"/>
                <w:color w:val="000000"/>
                <w:szCs w:val="22"/>
                <w:lang w:eastAsia="en-GB"/>
              </w:rPr>
              <w:t xml:space="preserve">imitations within those areas managed by IFCAs, notably </w:t>
            </w:r>
            <w:r w:rsidR="004B681D" w:rsidRPr="006038A2">
              <w:rPr>
                <w:rFonts w:ascii="Calibri" w:hAnsi="Calibri" w:cs="Calibri"/>
                <w:color w:val="000000"/>
                <w:szCs w:val="22"/>
                <w:lang w:eastAsia="en-GB"/>
              </w:rPr>
              <w:t xml:space="preserve">in </w:t>
            </w:r>
            <w:r w:rsidRPr="006038A2">
              <w:rPr>
                <w:rFonts w:ascii="Calibri" w:hAnsi="Calibri" w:cs="Calibri"/>
                <w:color w:val="000000"/>
                <w:szCs w:val="22"/>
                <w:lang w:eastAsia="en-GB"/>
              </w:rPr>
              <w:t xml:space="preserve">the management of the </w:t>
            </w:r>
            <w:r w:rsidR="004B681D" w:rsidRPr="006038A2">
              <w:rPr>
                <w:iCs/>
              </w:rPr>
              <w:t>Start Point Inshore Potting Agreement</w:t>
            </w:r>
            <w:r w:rsidRPr="006038A2">
              <w:rPr>
                <w:rFonts w:ascii="Calibri" w:hAnsi="Calibri" w:cs="Calibri"/>
                <w:color w:val="000000"/>
                <w:szCs w:val="22"/>
                <w:lang w:eastAsia="en-GB"/>
              </w:rPr>
              <w:t xml:space="preserve"> </w:t>
            </w:r>
            <w:r w:rsidR="00A55458">
              <w:rPr>
                <w:rFonts w:ascii="Calibri" w:hAnsi="Calibri" w:cs="Calibri"/>
                <w:color w:val="000000"/>
                <w:szCs w:val="22"/>
                <w:lang w:eastAsia="en-GB"/>
              </w:rPr>
              <w:t xml:space="preserve">(managed by MMO with IFCA support) </w:t>
            </w:r>
            <w:r w:rsidRPr="006038A2">
              <w:rPr>
                <w:rFonts w:ascii="Calibri" w:hAnsi="Calibri" w:cs="Calibri"/>
                <w:color w:val="000000"/>
                <w:szCs w:val="22"/>
                <w:lang w:eastAsia="en-GB"/>
              </w:rPr>
              <w:t>fishery and in and around areas designated for conservation and environmental management.</w:t>
            </w:r>
          </w:p>
          <w:p w14:paraId="5C9B94A7" w14:textId="552524B5" w:rsidR="004C450B" w:rsidRPr="004C450B" w:rsidRDefault="004C450B" w:rsidP="004C450B">
            <w:pPr>
              <w:pStyle w:val="ListBullet"/>
              <w:rPr>
                <w:lang w:eastAsia="en-GB"/>
              </w:rPr>
            </w:pPr>
            <w:r>
              <w:rPr>
                <w:lang w:eastAsia="en-GB"/>
              </w:rPr>
              <w:t xml:space="preserve">On balance, whilst a range of technical measures are designed to reduce the risk that stocks might fall below </w:t>
            </w:r>
            <w:proofErr w:type="spellStart"/>
            <w:r>
              <w:rPr>
                <w:lang w:eastAsia="en-GB"/>
              </w:rPr>
              <w:t>MSY</w:t>
            </w:r>
            <w:r w:rsidRPr="004C450B">
              <w:rPr>
                <w:vertAlign w:val="subscript"/>
                <w:lang w:eastAsia="en-GB"/>
              </w:rPr>
              <w:t>limit</w:t>
            </w:r>
            <w:proofErr w:type="spellEnd"/>
            <w:r>
              <w:rPr>
                <w:lang w:eastAsia="en-GB"/>
              </w:rPr>
              <w:t xml:space="preserve"> they are not designed to and not used to alter fishing activity in response to change in stock status.  As such it could be argued that the harvest strategy is not sufficient to support a statement that there is an expectation that the harvest strategy is expected to achieve stock management at or around </w:t>
            </w:r>
            <w:proofErr w:type="spellStart"/>
            <w:r>
              <w:rPr>
                <w:lang w:eastAsia="en-GB"/>
              </w:rPr>
              <w:t>MSY</w:t>
            </w:r>
            <w:r w:rsidRPr="004C450B">
              <w:rPr>
                <w:vertAlign w:val="subscript"/>
                <w:lang w:eastAsia="en-GB"/>
              </w:rPr>
              <w:t>target</w:t>
            </w:r>
            <w:proofErr w:type="spellEnd"/>
            <w:r>
              <w:rPr>
                <w:lang w:eastAsia="en-GB"/>
              </w:rPr>
              <w:t xml:space="preserve"> and thus might be deemed to score below SG60. </w:t>
            </w:r>
          </w:p>
        </w:tc>
      </w:tr>
      <w:tr w:rsidR="00FA7D41" w:rsidRPr="005C0C94" w14:paraId="54CFECAD" w14:textId="77777777" w:rsidTr="00FF0857">
        <w:trPr>
          <w:trHeight w:val="540"/>
        </w:trPr>
        <w:tc>
          <w:tcPr>
            <w:tcW w:w="1036" w:type="dxa"/>
            <w:vMerge/>
            <w:tcBorders>
              <w:left w:val="single" w:sz="8" w:space="0" w:color="auto"/>
              <w:right w:val="single" w:sz="8" w:space="0" w:color="auto"/>
            </w:tcBorders>
          </w:tcPr>
          <w:p w14:paraId="190BD8AE" w14:textId="0D0414EA" w:rsidR="00FA7D41" w:rsidRPr="00323770" w:rsidRDefault="00FA7D41" w:rsidP="002432AC">
            <w:pPr>
              <w:rPr>
                <w:rFonts w:cs="Arial"/>
                <w:color w:val="000000"/>
                <w:sz w:val="20"/>
                <w:szCs w:val="20"/>
                <w:lang w:eastAsia="en-GB"/>
              </w:rPr>
            </w:pPr>
          </w:p>
        </w:tc>
        <w:tc>
          <w:tcPr>
            <w:tcW w:w="1418" w:type="dxa"/>
            <w:vMerge/>
            <w:tcBorders>
              <w:left w:val="single" w:sz="8" w:space="0" w:color="auto"/>
              <w:right w:val="single" w:sz="8" w:space="0" w:color="auto"/>
            </w:tcBorders>
            <w:shd w:val="clear" w:color="auto" w:fill="auto"/>
            <w:vAlign w:val="center"/>
            <w:hideMark/>
          </w:tcPr>
          <w:p w14:paraId="768454F0" w14:textId="77777777" w:rsidR="00FA7D41" w:rsidRPr="00323770" w:rsidRDefault="00FA7D41" w:rsidP="002432AC">
            <w:pPr>
              <w:rPr>
                <w:rFonts w:cs="Arial"/>
                <w:color w:val="000000"/>
                <w:sz w:val="20"/>
                <w:szCs w:val="20"/>
                <w:lang w:eastAsia="en-GB"/>
              </w:rPr>
            </w:pPr>
          </w:p>
        </w:tc>
        <w:tc>
          <w:tcPr>
            <w:tcW w:w="709" w:type="dxa"/>
            <w:tcBorders>
              <w:top w:val="nil"/>
              <w:left w:val="nil"/>
              <w:bottom w:val="single" w:sz="8" w:space="0" w:color="auto"/>
              <w:right w:val="single" w:sz="8" w:space="0" w:color="auto"/>
            </w:tcBorders>
            <w:shd w:val="clear" w:color="auto" w:fill="auto"/>
            <w:vAlign w:val="center"/>
            <w:hideMark/>
          </w:tcPr>
          <w:p w14:paraId="4DBB7133"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1.2.2</w:t>
            </w:r>
          </w:p>
        </w:tc>
        <w:tc>
          <w:tcPr>
            <w:tcW w:w="1559" w:type="dxa"/>
            <w:tcBorders>
              <w:top w:val="nil"/>
              <w:left w:val="nil"/>
              <w:bottom w:val="single" w:sz="8" w:space="0" w:color="auto"/>
              <w:right w:val="single" w:sz="8" w:space="0" w:color="auto"/>
            </w:tcBorders>
            <w:shd w:val="clear" w:color="auto" w:fill="auto"/>
            <w:vAlign w:val="center"/>
            <w:hideMark/>
          </w:tcPr>
          <w:p w14:paraId="2AF28EAA"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Harvest control rules and tools</w:t>
            </w:r>
          </w:p>
        </w:tc>
        <w:tc>
          <w:tcPr>
            <w:tcW w:w="992" w:type="dxa"/>
            <w:tcBorders>
              <w:top w:val="nil"/>
              <w:left w:val="nil"/>
              <w:bottom w:val="single" w:sz="8" w:space="0" w:color="auto"/>
              <w:right w:val="single" w:sz="8" w:space="0" w:color="auto"/>
            </w:tcBorders>
            <w:shd w:val="clear" w:color="auto" w:fill="auto"/>
            <w:vAlign w:val="center"/>
          </w:tcPr>
          <w:p w14:paraId="3657E121" w14:textId="7454200A"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N</w:t>
            </w:r>
            <w:r w:rsidR="008803A1">
              <w:rPr>
                <w:rFonts w:cs="Arial"/>
                <w:color w:val="000000"/>
                <w:sz w:val="20"/>
                <w:szCs w:val="20"/>
                <w:lang w:eastAsia="en-GB"/>
              </w:rPr>
              <w:t>/</w:t>
            </w:r>
            <w:r w:rsidRPr="00323770">
              <w:rPr>
                <w:rFonts w:cs="Arial"/>
                <w:color w:val="000000"/>
                <w:sz w:val="20"/>
                <w:szCs w:val="20"/>
                <w:lang w:eastAsia="en-GB"/>
              </w:rPr>
              <w:t>A</w:t>
            </w:r>
          </w:p>
        </w:tc>
        <w:tc>
          <w:tcPr>
            <w:tcW w:w="851" w:type="dxa"/>
            <w:tcBorders>
              <w:top w:val="single" w:sz="8" w:space="0" w:color="auto"/>
              <w:left w:val="nil"/>
              <w:bottom w:val="single" w:sz="8" w:space="0" w:color="auto"/>
              <w:right w:val="single" w:sz="8" w:space="0" w:color="auto"/>
            </w:tcBorders>
            <w:shd w:val="clear" w:color="auto" w:fill="D99594" w:themeFill="accent2" w:themeFillTint="99"/>
            <w:vAlign w:val="center"/>
          </w:tcPr>
          <w:p w14:paraId="646492DE" w14:textId="6CBE213C" w:rsidR="00FA7D41" w:rsidRPr="00323770" w:rsidRDefault="00FF0857" w:rsidP="000A39D4">
            <w:pPr>
              <w:rPr>
                <w:rFonts w:cs="Arial"/>
                <w:color w:val="000000"/>
                <w:lang w:eastAsia="en-GB"/>
              </w:rPr>
            </w:pPr>
            <w:r>
              <w:rPr>
                <w:rFonts w:cs="Arial"/>
                <w:color w:val="000000"/>
                <w:lang w:eastAsia="en-GB"/>
              </w:rPr>
              <w:t>&lt;60</w:t>
            </w:r>
          </w:p>
        </w:tc>
        <w:tc>
          <w:tcPr>
            <w:tcW w:w="8204" w:type="dxa"/>
            <w:tcBorders>
              <w:top w:val="nil"/>
              <w:left w:val="single" w:sz="4" w:space="0" w:color="auto"/>
              <w:bottom w:val="single" w:sz="8" w:space="0" w:color="auto"/>
              <w:right w:val="single" w:sz="8" w:space="0" w:color="auto"/>
            </w:tcBorders>
            <w:shd w:val="clear" w:color="auto" w:fill="auto"/>
            <w:vAlign w:val="center"/>
          </w:tcPr>
          <w:p w14:paraId="30DF926A" w14:textId="77777777" w:rsidR="004977FF" w:rsidRPr="0049311E" w:rsidRDefault="004977FF" w:rsidP="004977FF">
            <w:pPr>
              <w:rPr>
                <w:rFonts w:ascii="Calibri" w:hAnsi="Calibri" w:cs="Calibri"/>
                <w:color w:val="000000"/>
                <w:szCs w:val="22"/>
                <w:lang w:eastAsia="en-GB"/>
              </w:rPr>
            </w:pPr>
            <w:r w:rsidRPr="0049311E">
              <w:rPr>
                <w:rFonts w:ascii="Calibri" w:hAnsi="Calibri" w:cs="Calibri"/>
                <w:color w:val="000000"/>
                <w:szCs w:val="22"/>
                <w:lang w:eastAsia="en-GB"/>
              </w:rPr>
              <w:t xml:space="preserve">The EU Western Waters Regime places a limit upon the number of kilowatt days that the &gt;15m potting fleet can use within ICES area VII. From 2013 active management has been introduced leading to reductions in the number of days fished within this stock area. There may have also been a loss in effort (and therefore also catch) towards the end of 2013 because of the very bad weather in the run up to Christmas which is traditionally an important fishery. </w:t>
            </w:r>
          </w:p>
          <w:p w14:paraId="0C00C574" w14:textId="77777777" w:rsidR="004977FF" w:rsidRPr="0049311E" w:rsidRDefault="004977FF" w:rsidP="004977FF">
            <w:pPr>
              <w:rPr>
                <w:rFonts w:ascii="Calibri" w:hAnsi="Calibri" w:cs="Calibri"/>
                <w:color w:val="000000"/>
                <w:szCs w:val="22"/>
                <w:lang w:eastAsia="en-GB"/>
              </w:rPr>
            </w:pPr>
            <w:r w:rsidRPr="0049311E">
              <w:rPr>
                <w:rFonts w:ascii="Calibri" w:hAnsi="Calibri" w:cs="Calibri"/>
                <w:color w:val="000000"/>
                <w:szCs w:val="22"/>
                <w:lang w:eastAsia="en-GB"/>
              </w:rPr>
              <w:t xml:space="preserve">Since 2008 there has been an increase in the vessel numbers and pots used in the Lyme Bay area since the Lyme Bay Statutory Instrument came into being however it is not clear if this represents new activity or a relocation of activity from neighbouring areas. </w:t>
            </w:r>
          </w:p>
          <w:p w14:paraId="14A3A30F" w14:textId="77777777" w:rsidR="004977FF" w:rsidRPr="0049311E" w:rsidRDefault="004977FF" w:rsidP="004977FF">
            <w:pPr>
              <w:rPr>
                <w:rFonts w:ascii="Calibri" w:hAnsi="Calibri" w:cs="Calibri"/>
                <w:color w:val="000000"/>
                <w:szCs w:val="22"/>
                <w:lang w:eastAsia="en-GB"/>
              </w:rPr>
            </w:pPr>
            <w:r w:rsidRPr="0049311E">
              <w:rPr>
                <w:rFonts w:ascii="Calibri" w:hAnsi="Calibri" w:cs="Calibri"/>
                <w:color w:val="000000"/>
                <w:szCs w:val="22"/>
                <w:lang w:eastAsia="en-GB"/>
              </w:rPr>
              <w:t xml:space="preserve">In large areas of the Devon and Severn IFCA district there is little opportunity to increase the area covered or number of pots on the ground due to the potential for gear conflicts with the mobile fishing fleets. </w:t>
            </w:r>
          </w:p>
          <w:p w14:paraId="64B34336" w14:textId="77777777" w:rsidR="004977FF" w:rsidRPr="0049311E" w:rsidRDefault="004977FF" w:rsidP="004977FF">
            <w:pPr>
              <w:rPr>
                <w:rFonts w:ascii="Calibri" w:hAnsi="Calibri" w:cs="Calibri"/>
                <w:color w:val="000000"/>
                <w:szCs w:val="22"/>
                <w:lang w:eastAsia="en-GB"/>
              </w:rPr>
            </w:pPr>
            <w:r w:rsidRPr="0049311E">
              <w:rPr>
                <w:rFonts w:ascii="Calibri" w:hAnsi="Calibri" w:cs="Calibri"/>
                <w:color w:val="000000"/>
                <w:szCs w:val="22"/>
                <w:lang w:eastAsia="en-GB"/>
              </w:rPr>
              <w:t xml:space="preserve">Fishery Management measures </w:t>
            </w:r>
          </w:p>
          <w:p w14:paraId="4C265F1F" w14:textId="77777777" w:rsidR="004977FF" w:rsidRPr="004977FF" w:rsidRDefault="004977FF" w:rsidP="004977FF">
            <w:pPr>
              <w:pStyle w:val="ListParagraph"/>
              <w:numPr>
                <w:ilvl w:val="0"/>
                <w:numId w:val="26"/>
              </w:numPr>
              <w:rPr>
                <w:rFonts w:ascii="Calibri" w:hAnsi="Calibri" w:cs="Calibri"/>
                <w:color w:val="000000"/>
                <w:szCs w:val="22"/>
                <w:lang w:eastAsia="en-GB"/>
              </w:rPr>
            </w:pPr>
            <w:r w:rsidRPr="004977FF">
              <w:rPr>
                <w:rFonts w:ascii="Calibri" w:hAnsi="Calibri" w:cs="Calibri"/>
                <w:color w:val="000000"/>
                <w:szCs w:val="22"/>
                <w:lang w:eastAsia="en-GB"/>
              </w:rPr>
              <w:t xml:space="preserve">EC and UK minimum landing size of 140mm applies, but off Devon and Cornwall UK law stipulates an MLS of 160mm for males. It also restricts the proportion of the crab </w:t>
            </w:r>
            <w:r w:rsidRPr="004977FF">
              <w:rPr>
                <w:rFonts w:ascii="Calibri" w:hAnsi="Calibri" w:cs="Calibri"/>
                <w:color w:val="000000"/>
                <w:szCs w:val="22"/>
                <w:lang w:eastAsia="en-GB"/>
              </w:rPr>
              <w:lastRenderedPageBreak/>
              <w:t>land</w:t>
            </w:r>
            <w:r>
              <w:rPr>
                <w:rFonts w:ascii="Calibri" w:hAnsi="Calibri" w:cs="Calibri"/>
                <w:color w:val="000000"/>
                <w:szCs w:val="22"/>
                <w:lang w:eastAsia="en-GB"/>
              </w:rPr>
              <w:t xml:space="preserve">ed as </w:t>
            </w:r>
            <w:r w:rsidRPr="004977FF">
              <w:rPr>
                <w:rFonts w:ascii="Calibri" w:hAnsi="Calibri" w:cs="Calibri"/>
                <w:color w:val="000000"/>
                <w:szCs w:val="22"/>
                <w:lang w:eastAsia="en-GB"/>
              </w:rPr>
              <w:t xml:space="preserve">detached claws caught by pots or creels to less than 1% by weight of total catch. A by-catch limit of no more than 75kg per day of crab claws taken by other gear types can be landed. </w:t>
            </w:r>
          </w:p>
          <w:p w14:paraId="771C0B04" w14:textId="77777777" w:rsidR="004977FF" w:rsidRPr="004977FF" w:rsidRDefault="004977FF" w:rsidP="004977FF">
            <w:pPr>
              <w:pStyle w:val="ListParagraph"/>
              <w:numPr>
                <w:ilvl w:val="0"/>
                <w:numId w:val="26"/>
              </w:numPr>
              <w:rPr>
                <w:rFonts w:ascii="Calibri" w:hAnsi="Calibri" w:cs="Calibri"/>
                <w:color w:val="000000"/>
                <w:szCs w:val="22"/>
                <w:lang w:eastAsia="en-GB"/>
              </w:rPr>
            </w:pPr>
            <w:r w:rsidRPr="004977FF">
              <w:rPr>
                <w:rFonts w:ascii="Calibri" w:hAnsi="Calibri" w:cs="Calibri"/>
                <w:color w:val="000000"/>
                <w:szCs w:val="22"/>
                <w:lang w:eastAsia="en-GB"/>
              </w:rPr>
              <w:t xml:space="preserve">National legislation restricts the number of shellfish licences available (in England and Wales) and also prohibits landing of berried and soft crabs. </w:t>
            </w:r>
          </w:p>
          <w:p w14:paraId="09DF81BB" w14:textId="77777777" w:rsidR="004977FF" w:rsidRPr="004977FF" w:rsidRDefault="004977FF" w:rsidP="004977FF">
            <w:pPr>
              <w:pStyle w:val="ListParagraph"/>
              <w:numPr>
                <w:ilvl w:val="0"/>
                <w:numId w:val="26"/>
              </w:numPr>
              <w:rPr>
                <w:rFonts w:ascii="Calibri" w:hAnsi="Calibri" w:cs="Calibri"/>
                <w:color w:val="000000"/>
                <w:szCs w:val="22"/>
                <w:lang w:eastAsia="en-GB"/>
              </w:rPr>
            </w:pPr>
            <w:r w:rsidRPr="004977FF">
              <w:rPr>
                <w:rFonts w:ascii="Calibri" w:hAnsi="Calibri" w:cs="Calibri"/>
                <w:color w:val="000000"/>
                <w:szCs w:val="22"/>
                <w:lang w:eastAsia="en-GB"/>
              </w:rPr>
              <w:t xml:space="preserve">Cornwall IFCA applies an MLS of 150mm for females. Local IFCA legislation varies and is detailed in the table below. </w:t>
            </w:r>
          </w:p>
          <w:p w14:paraId="5E809E5A" w14:textId="77777777" w:rsidR="004977FF" w:rsidRPr="004977FF" w:rsidRDefault="004977FF" w:rsidP="004977FF">
            <w:pPr>
              <w:pStyle w:val="ListParagraph"/>
              <w:numPr>
                <w:ilvl w:val="0"/>
                <w:numId w:val="26"/>
              </w:numPr>
              <w:rPr>
                <w:rFonts w:ascii="Calibri" w:hAnsi="Calibri" w:cs="Calibri"/>
                <w:color w:val="000000"/>
                <w:szCs w:val="22"/>
                <w:lang w:eastAsia="en-GB"/>
              </w:rPr>
            </w:pPr>
            <w:r w:rsidRPr="004977FF">
              <w:rPr>
                <w:rFonts w:ascii="Calibri" w:hAnsi="Calibri" w:cs="Calibri"/>
                <w:color w:val="000000"/>
                <w:szCs w:val="22"/>
                <w:lang w:eastAsia="en-GB"/>
              </w:rPr>
              <w:t xml:space="preserve">There are mid-channel potting agreements in place in this region. </w:t>
            </w:r>
          </w:p>
          <w:p w14:paraId="05812A21" w14:textId="77777777" w:rsidR="00895B33" w:rsidRDefault="004977FF" w:rsidP="00895B33">
            <w:pPr>
              <w:rPr>
                <w:rFonts w:ascii="Calibri" w:hAnsi="Calibri" w:cs="Calibri"/>
                <w:color w:val="000000"/>
                <w:szCs w:val="22"/>
                <w:lang w:eastAsia="en-GB"/>
              </w:rPr>
            </w:pPr>
            <w:r>
              <w:rPr>
                <w:rFonts w:ascii="Calibri" w:hAnsi="Calibri" w:cs="Calibri"/>
                <w:color w:val="000000"/>
                <w:szCs w:val="22"/>
                <w:lang w:eastAsia="en-GB"/>
              </w:rPr>
              <w:t>Together, all the above are such as to seek to achieve a reasonable balance between stock strength and fishing effort and exploitation, but they do not constitute a coherent integrated harvest strategy, and lack any adaptive management component.</w:t>
            </w:r>
          </w:p>
          <w:p w14:paraId="46600C85" w14:textId="77777777" w:rsidR="007A0DB8" w:rsidRDefault="007A0DB8" w:rsidP="00895B33">
            <w:pPr>
              <w:rPr>
                <w:rStyle w:val="A5"/>
                <w:rFonts w:eastAsia="MS Gothic"/>
                <w:sz w:val="22"/>
              </w:rPr>
            </w:pPr>
            <w:r w:rsidRPr="007A0DB8">
              <w:rPr>
                <w:rStyle w:val="A5"/>
                <w:rFonts w:eastAsia="MS Gothic"/>
                <w:sz w:val="22"/>
              </w:rPr>
              <w:t>Cefas notes that, “Stock boundaries for edible crab remain poorly understood and both sexes move quite widely at times; females in particular have been shown to travel large distances in relation to spawning activity.” Based on the assessment units, however, collaboration between the relevant IFCAs to develop crab management appears sensible. The extent of the fishery and offshore fishing interests (</w:t>
            </w:r>
            <w:proofErr w:type="spellStart"/>
            <w:r w:rsidRPr="007A0DB8">
              <w:rPr>
                <w:rStyle w:val="A5"/>
                <w:rFonts w:eastAsia="MS Gothic"/>
                <w:sz w:val="22"/>
              </w:rPr>
              <w:t>vivier</w:t>
            </w:r>
            <w:proofErr w:type="spellEnd"/>
            <w:r w:rsidRPr="007A0DB8">
              <w:rPr>
                <w:rStyle w:val="A5"/>
                <w:rFonts w:eastAsia="MS Gothic"/>
                <w:sz w:val="22"/>
              </w:rPr>
              <w:t xml:space="preserve"> crabbers) suggests some discussion with French and Irish authorities would also be beneficial for Western Channel and Celtic Sea stocks respectively.</w:t>
            </w:r>
          </w:p>
          <w:p w14:paraId="01632D5D" w14:textId="6DCD3191" w:rsidR="00FF0857" w:rsidRPr="005C0C94" w:rsidRDefault="00FF0857" w:rsidP="00895B33">
            <w:pPr>
              <w:rPr>
                <w:rFonts w:cs="Arial"/>
                <w:color w:val="000000"/>
                <w:lang w:eastAsia="en-GB"/>
              </w:rPr>
            </w:pPr>
            <w:r>
              <w:rPr>
                <w:lang w:eastAsia="en-GB"/>
              </w:rPr>
              <w:t xml:space="preserve">On balance, whilst a range of technical measures are designed to reduce the risk that stocks might fall below </w:t>
            </w:r>
            <w:proofErr w:type="spellStart"/>
            <w:r>
              <w:rPr>
                <w:lang w:eastAsia="en-GB"/>
              </w:rPr>
              <w:t>MSY</w:t>
            </w:r>
            <w:r w:rsidRPr="004C450B">
              <w:rPr>
                <w:vertAlign w:val="subscript"/>
                <w:lang w:eastAsia="en-GB"/>
              </w:rPr>
              <w:t>limit</w:t>
            </w:r>
            <w:proofErr w:type="spellEnd"/>
            <w:r>
              <w:rPr>
                <w:lang w:eastAsia="en-GB"/>
              </w:rPr>
              <w:t xml:space="preserve"> they are not designed to and not used to alter fishing activity in response to change in stock status.  As such it could be argued that the harvest strategy is not sufficient to support a statement that there is an expectation that the harvest strategy is expected to achieve stock management at or around </w:t>
            </w:r>
            <w:proofErr w:type="spellStart"/>
            <w:r>
              <w:rPr>
                <w:lang w:eastAsia="en-GB"/>
              </w:rPr>
              <w:t>MSY</w:t>
            </w:r>
            <w:r w:rsidRPr="004C450B">
              <w:rPr>
                <w:vertAlign w:val="subscript"/>
                <w:lang w:eastAsia="en-GB"/>
              </w:rPr>
              <w:t>target</w:t>
            </w:r>
            <w:proofErr w:type="spellEnd"/>
            <w:r>
              <w:rPr>
                <w:lang w:eastAsia="en-GB"/>
              </w:rPr>
              <w:t xml:space="preserve"> and thus might be deemed to score below SG60.</w:t>
            </w:r>
          </w:p>
        </w:tc>
      </w:tr>
      <w:tr w:rsidR="00FA7D41" w:rsidRPr="005C0C94" w14:paraId="55E8143E" w14:textId="77777777" w:rsidTr="00FF0857">
        <w:trPr>
          <w:trHeight w:val="540"/>
        </w:trPr>
        <w:tc>
          <w:tcPr>
            <w:tcW w:w="1036" w:type="dxa"/>
            <w:vMerge/>
            <w:tcBorders>
              <w:left w:val="single" w:sz="8" w:space="0" w:color="auto"/>
              <w:right w:val="single" w:sz="8" w:space="0" w:color="auto"/>
            </w:tcBorders>
          </w:tcPr>
          <w:p w14:paraId="47B782EA" w14:textId="77777777" w:rsidR="00FA7D41" w:rsidRPr="00323770" w:rsidRDefault="00FA7D41" w:rsidP="002432AC">
            <w:pPr>
              <w:rPr>
                <w:rFonts w:cs="Arial"/>
                <w:color w:val="000000"/>
                <w:sz w:val="20"/>
                <w:szCs w:val="20"/>
                <w:lang w:eastAsia="en-GB"/>
              </w:rPr>
            </w:pPr>
          </w:p>
        </w:tc>
        <w:tc>
          <w:tcPr>
            <w:tcW w:w="1418" w:type="dxa"/>
            <w:vMerge/>
            <w:tcBorders>
              <w:left w:val="single" w:sz="8" w:space="0" w:color="auto"/>
              <w:right w:val="single" w:sz="8" w:space="0" w:color="auto"/>
            </w:tcBorders>
            <w:shd w:val="clear" w:color="auto" w:fill="auto"/>
            <w:vAlign w:val="center"/>
            <w:hideMark/>
          </w:tcPr>
          <w:p w14:paraId="662616AF" w14:textId="77777777" w:rsidR="00FA7D41" w:rsidRPr="00323770" w:rsidRDefault="00FA7D41" w:rsidP="002432AC">
            <w:pPr>
              <w:rPr>
                <w:rFonts w:cs="Arial"/>
                <w:color w:val="000000"/>
                <w:sz w:val="20"/>
                <w:szCs w:val="20"/>
                <w:lang w:eastAsia="en-GB"/>
              </w:rPr>
            </w:pPr>
          </w:p>
        </w:tc>
        <w:tc>
          <w:tcPr>
            <w:tcW w:w="709" w:type="dxa"/>
            <w:tcBorders>
              <w:top w:val="nil"/>
              <w:left w:val="nil"/>
              <w:bottom w:val="single" w:sz="8" w:space="0" w:color="auto"/>
              <w:right w:val="single" w:sz="8" w:space="0" w:color="auto"/>
            </w:tcBorders>
            <w:shd w:val="clear" w:color="auto" w:fill="auto"/>
            <w:vAlign w:val="center"/>
            <w:hideMark/>
          </w:tcPr>
          <w:p w14:paraId="5E4122F2"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1.2.3</w:t>
            </w:r>
          </w:p>
        </w:tc>
        <w:tc>
          <w:tcPr>
            <w:tcW w:w="1559" w:type="dxa"/>
            <w:tcBorders>
              <w:top w:val="nil"/>
              <w:left w:val="nil"/>
              <w:bottom w:val="single" w:sz="8" w:space="0" w:color="auto"/>
              <w:right w:val="single" w:sz="8" w:space="0" w:color="auto"/>
            </w:tcBorders>
            <w:shd w:val="clear" w:color="auto" w:fill="auto"/>
            <w:vAlign w:val="center"/>
            <w:hideMark/>
          </w:tcPr>
          <w:p w14:paraId="03E682EC"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Information and monitoring</w:t>
            </w:r>
          </w:p>
        </w:tc>
        <w:tc>
          <w:tcPr>
            <w:tcW w:w="992" w:type="dxa"/>
            <w:tcBorders>
              <w:top w:val="nil"/>
              <w:left w:val="nil"/>
              <w:bottom w:val="single" w:sz="8" w:space="0" w:color="auto"/>
              <w:right w:val="single" w:sz="8" w:space="0" w:color="auto"/>
            </w:tcBorders>
            <w:shd w:val="clear" w:color="auto" w:fill="auto"/>
            <w:vAlign w:val="center"/>
          </w:tcPr>
          <w:p w14:paraId="3D394584" w14:textId="5A5E2561"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N</w:t>
            </w:r>
            <w:r w:rsidR="008803A1">
              <w:rPr>
                <w:rFonts w:cs="Arial"/>
                <w:color w:val="000000"/>
                <w:sz w:val="20"/>
                <w:szCs w:val="20"/>
                <w:lang w:eastAsia="en-GB"/>
              </w:rPr>
              <w:t>/</w:t>
            </w:r>
            <w:r w:rsidRPr="00323770">
              <w:rPr>
                <w:rFonts w:cs="Arial"/>
                <w:color w:val="000000"/>
                <w:sz w:val="20"/>
                <w:szCs w:val="20"/>
                <w:lang w:eastAsia="en-GB"/>
              </w:rPr>
              <w:t>A</w:t>
            </w:r>
          </w:p>
        </w:tc>
        <w:tc>
          <w:tcPr>
            <w:tcW w:w="851" w:type="dxa"/>
            <w:tcBorders>
              <w:top w:val="single" w:sz="8" w:space="0" w:color="auto"/>
              <w:left w:val="nil"/>
              <w:bottom w:val="single" w:sz="8" w:space="0" w:color="auto"/>
              <w:right w:val="single" w:sz="8" w:space="0" w:color="auto"/>
            </w:tcBorders>
            <w:shd w:val="clear" w:color="auto" w:fill="C2D69B" w:themeFill="accent3" w:themeFillTint="99"/>
            <w:vAlign w:val="center"/>
          </w:tcPr>
          <w:p w14:paraId="592CB21E" w14:textId="662D719B" w:rsidR="00FA7D41" w:rsidRPr="00323770" w:rsidRDefault="000A39D4" w:rsidP="002432AC">
            <w:pPr>
              <w:rPr>
                <w:rFonts w:cs="Arial"/>
                <w:color w:val="000000"/>
                <w:lang w:eastAsia="en-GB"/>
              </w:rPr>
            </w:pPr>
            <w:r w:rsidRPr="00DA4A8C">
              <w:rPr>
                <w:rFonts w:cs="Arial"/>
                <w:color w:val="000000"/>
                <w:lang w:eastAsia="en-GB"/>
              </w:rPr>
              <w:t>≥80</w:t>
            </w:r>
          </w:p>
        </w:tc>
        <w:tc>
          <w:tcPr>
            <w:tcW w:w="8204" w:type="dxa"/>
            <w:tcBorders>
              <w:top w:val="nil"/>
              <w:left w:val="single" w:sz="4" w:space="0" w:color="auto"/>
              <w:bottom w:val="single" w:sz="8" w:space="0" w:color="auto"/>
              <w:right w:val="single" w:sz="8" w:space="0" w:color="auto"/>
            </w:tcBorders>
            <w:shd w:val="clear" w:color="auto" w:fill="auto"/>
            <w:vAlign w:val="center"/>
          </w:tcPr>
          <w:p w14:paraId="022D6974" w14:textId="5F2E85E9" w:rsidR="006038A2" w:rsidRPr="006038A2" w:rsidRDefault="006038A2" w:rsidP="006038A2">
            <w:pPr>
              <w:rPr>
                <w:rFonts w:ascii="Calibri" w:hAnsi="Calibri" w:cs="Calibri"/>
                <w:color w:val="000000"/>
                <w:szCs w:val="22"/>
                <w:lang w:eastAsia="en-GB"/>
              </w:rPr>
            </w:pPr>
            <w:r w:rsidRPr="006038A2">
              <w:rPr>
                <w:rFonts w:ascii="Calibri" w:hAnsi="Calibri" w:cs="Calibri"/>
                <w:color w:val="000000"/>
                <w:szCs w:val="22"/>
                <w:lang w:eastAsia="en-GB"/>
              </w:rPr>
              <w:t xml:space="preserve">Fishery management jurisdiction is organised on two different scales around England. Beyond 6 nautical miles, Defra and the MMO are responsible for managing crab fisheries whereas from the coast out to 6 nautical miles, responsibility lies with the Inshore Fisheries and Conservation Authorities (IFCAs). There are 10 IFCA within England, and </w:t>
            </w:r>
            <w:r w:rsidRPr="006038A2">
              <w:rPr>
                <w:rFonts w:ascii="Calibri" w:hAnsi="Calibri" w:cs="Calibri"/>
                <w:color w:val="000000"/>
                <w:szCs w:val="22"/>
                <w:lang w:eastAsia="en-GB"/>
              </w:rPr>
              <w:lastRenderedPageBreak/>
              <w:t xml:space="preserve">their regions extend from the coast out to 6nm. </w:t>
            </w:r>
            <w:r>
              <w:rPr>
                <w:rFonts w:ascii="Calibri" w:hAnsi="Calibri" w:cs="Calibri"/>
                <w:color w:val="000000"/>
                <w:szCs w:val="22"/>
                <w:lang w:eastAsia="en-GB"/>
              </w:rPr>
              <w:t xml:space="preserve">This stock unit and jurisdiction over inshore management within this area rests with three IFCAs – the D&amp;S, C, and </w:t>
            </w:r>
            <w:proofErr w:type="spellStart"/>
            <w:r>
              <w:rPr>
                <w:rFonts w:ascii="Calibri" w:hAnsi="Calibri" w:cs="Calibri"/>
                <w:color w:val="000000"/>
                <w:szCs w:val="22"/>
                <w:lang w:eastAsia="en-GB"/>
              </w:rPr>
              <w:t>IoS</w:t>
            </w:r>
            <w:proofErr w:type="spellEnd"/>
            <w:r>
              <w:rPr>
                <w:rFonts w:ascii="Calibri" w:hAnsi="Calibri" w:cs="Calibri"/>
                <w:color w:val="000000"/>
                <w:szCs w:val="22"/>
                <w:lang w:eastAsia="en-GB"/>
              </w:rPr>
              <w:t xml:space="preserve"> IFCAs.  The Western English Channel stock unit and </w:t>
            </w:r>
            <w:r w:rsidRPr="006038A2">
              <w:rPr>
                <w:rFonts w:ascii="Calibri" w:hAnsi="Calibri" w:cs="Calibri"/>
                <w:color w:val="000000"/>
                <w:szCs w:val="22"/>
                <w:lang w:eastAsia="en-GB"/>
              </w:rPr>
              <w:t>IFCA boundaries do not match, which can make interpreting results for each management unit challenging</w:t>
            </w:r>
            <w:r>
              <w:rPr>
                <w:rFonts w:ascii="Calibri" w:hAnsi="Calibri" w:cs="Calibri"/>
                <w:color w:val="000000"/>
                <w:szCs w:val="22"/>
                <w:lang w:eastAsia="en-GB"/>
              </w:rPr>
              <w:t>.  G</w:t>
            </w:r>
            <w:r w:rsidRPr="006038A2">
              <w:rPr>
                <w:rFonts w:ascii="Calibri" w:hAnsi="Calibri" w:cs="Calibri"/>
                <w:color w:val="000000"/>
                <w:szCs w:val="22"/>
                <w:lang w:eastAsia="en-GB"/>
              </w:rPr>
              <w:t xml:space="preserve">iven that one functional area is based on species biology and the other is based on governmental logistics, </w:t>
            </w:r>
            <w:r>
              <w:rPr>
                <w:rFonts w:ascii="Calibri" w:hAnsi="Calibri" w:cs="Calibri"/>
                <w:color w:val="000000"/>
                <w:szCs w:val="22"/>
                <w:lang w:eastAsia="en-GB"/>
              </w:rPr>
              <w:t xml:space="preserve">however, </w:t>
            </w:r>
            <w:r w:rsidRPr="006038A2">
              <w:rPr>
                <w:rFonts w:ascii="Calibri" w:hAnsi="Calibri" w:cs="Calibri"/>
                <w:color w:val="000000"/>
                <w:szCs w:val="22"/>
                <w:lang w:eastAsia="en-GB"/>
              </w:rPr>
              <w:t xml:space="preserve">differences are to be expected. </w:t>
            </w:r>
          </w:p>
          <w:p w14:paraId="22BA0895" w14:textId="08166A81" w:rsidR="00895B33" w:rsidRPr="00EE5C1A" w:rsidRDefault="0023364D" w:rsidP="006038A2">
            <w:pPr>
              <w:rPr>
                <w:rFonts w:ascii="Calibri" w:hAnsi="Calibri" w:cs="Calibri"/>
                <w:color w:val="000000"/>
                <w:szCs w:val="22"/>
                <w:lang w:eastAsia="en-GB"/>
              </w:rPr>
            </w:pPr>
            <w:r w:rsidRPr="00072676">
              <w:rPr>
                <w:rFonts w:ascii="Calibri" w:hAnsi="Calibri" w:cs="Calibri"/>
                <w:color w:val="000000"/>
                <w:szCs w:val="22"/>
                <w:lang w:eastAsia="en-GB"/>
              </w:rPr>
              <w:t xml:space="preserve">Some data on landings, effort, </w:t>
            </w:r>
            <w:r w:rsidR="004977FF">
              <w:rPr>
                <w:rFonts w:ascii="Calibri" w:hAnsi="Calibri" w:cs="Calibri"/>
                <w:color w:val="000000"/>
                <w:szCs w:val="22"/>
                <w:lang w:eastAsia="en-GB"/>
              </w:rPr>
              <w:t xml:space="preserve">and </w:t>
            </w:r>
            <w:r w:rsidRPr="00072676">
              <w:rPr>
                <w:rFonts w:ascii="Calibri" w:hAnsi="Calibri" w:cs="Calibri"/>
                <w:color w:val="000000"/>
                <w:szCs w:val="22"/>
                <w:lang w:eastAsia="en-GB"/>
              </w:rPr>
              <w:t xml:space="preserve">fleet composition are available (SG60a); fishery removals are monitored and there is some information </w:t>
            </w:r>
            <w:r w:rsidR="004977FF">
              <w:rPr>
                <w:rFonts w:ascii="Calibri" w:hAnsi="Calibri" w:cs="Calibri"/>
                <w:color w:val="000000"/>
                <w:szCs w:val="22"/>
                <w:lang w:eastAsia="en-GB"/>
              </w:rPr>
              <w:t xml:space="preserve">available to support </w:t>
            </w:r>
            <w:r w:rsidRPr="00072676">
              <w:rPr>
                <w:rFonts w:ascii="Calibri" w:hAnsi="Calibri" w:cs="Calibri"/>
                <w:color w:val="000000"/>
                <w:szCs w:val="22"/>
                <w:lang w:eastAsia="en-GB"/>
              </w:rPr>
              <w:t xml:space="preserve">a CPUE indicator (SG60b); </w:t>
            </w:r>
            <w:r w:rsidR="004977FF">
              <w:rPr>
                <w:rFonts w:ascii="Calibri" w:hAnsi="Calibri" w:cs="Calibri"/>
                <w:color w:val="000000"/>
                <w:szCs w:val="22"/>
                <w:lang w:eastAsia="en-GB"/>
              </w:rPr>
              <w:t xml:space="preserve">landings from beam trawling and gill net fisheries are reported, but constitute </w:t>
            </w:r>
            <w:r w:rsidR="006038A2">
              <w:rPr>
                <w:rFonts w:ascii="Calibri" w:hAnsi="Calibri" w:cs="Calibri"/>
                <w:color w:val="000000"/>
                <w:szCs w:val="22"/>
                <w:lang w:eastAsia="en-GB"/>
              </w:rPr>
              <w:t xml:space="preserve">only </w:t>
            </w:r>
            <w:r w:rsidR="004977FF">
              <w:rPr>
                <w:rFonts w:ascii="Calibri" w:hAnsi="Calibri" w:cs="Calibri"/>
                <w:color w:val="000000"/>
                <w:szCs w:val="22"/>
                <w:lang w:eastAsia="en-GB"/>
              </w:rPr>
              <w:t>slightly over 2% of overall edible crab landings; t</w:t>
            </w:r>
            <w:r w:rsidRPr="00072676">
              <w:rPr>
                <w:rFonts w:ascii="Calibri" w:hAnsi="Calibri" w:cs="Calibri"/>
                <w:color w:val="000000"/>
                <w:szCs w:val="22"/>
                <w:lang w:eastAsia="en-GB"/>
              </w:rPr>
              <w:t xml:space="preserve">here may be other </w:t>
            </w:r>
            <w:r w:rsidR="004977FF">
              <w:rPr>
                <w:rFonts w:ascii="Calibri" w:hAnsi="Calibri" w:cs="Calibri"/>
                <w:color w:val="000000"/>
                <w:szCs w:val="22"/>
                <w:lang w:eastAsia="en-GB"/>
              </w:rPr>
              <w:t xml:space="preserve">un- / under-reported </w:t>
            </w:r>
            <w:r w:rsidRPr="00072676">
              <w:rPr>
                <w:rFonts w:ascii="Calibri" w:hAnsi="Calibri" w:cs="Calibri"/>
                <w:color w:val="000000"/>
                <w:szCs w:val="22"/>
                <w:lang w:eastAsia="en-GB"/>
              </w:rPr>
              <w:t>removals by other gears not accounted for (&lt;SG60c)</w:t>
            </w:r>
            <w:r w:rsidR="004977FF">
              <w:rPr>
                <w:rFonts w:ascii="Calibri" w:hAnsi="Calibri" w:cs="Calibri"/>
                <w:color w:val="000000"/>
                <w:szCs w:val="22"/>
                <w:lang w:eastAsia="en-GB"/>
              </w:rPr>
              <w:t xml:space="preserve">. Given the </w:t>
            </w:r>
            <w:r w:rsidR="00EE5C1A">
              <w:rPr>
                <w:rFonts w:ascii="Calibri" w:hAnsi="Calibri" w:cs="Calibri"/>
                <w:color w:val="000000"/>
                <w:szCs w:val="22"/>
                <w:lang w:eastAsia="en-GB"/>
              </w:rPr>
              <w:t xml:space="preserve">live </w:t>
            </w:r>
            <w:r w:rsidR="004977FF">
              <w:rPr>
                <w:rFonts w:ascii="Calibri" w:hAnsi="Calibri" w:cs="Calibri"/>
                <w:color w:val="000000"/>
                <w:szCs w:val="22"/>
                <w:lang w:eastAsia="en-GB"/>
              </w:rPr>
              <w:t xml:space="preserve">nature of the fishery, under-sized crab and </w:t>
            </w:r>
            <w:r w:rsidR="00EE5C1A">
              <w:rPr>
                <w:rFonts w:ascii="Calibri" w:hAnsi="Calibri" w:cs="Calibri"/>
                <w:color w:val="000000"/>
                <w:szCs w:val="22"/>
                <w:lang w:eastAsia="en-GB"/>
              </w:rPr>
              <w:t xml:space="preserve">discarded </w:t>
            </w:r>
            <w:r w:rsidR="004977FF">
              <w:rPr>
                <w:rFonts w:ascii="Calibri" w:hAnsi="Calibri" w:cs="Calibri"/>
                <w:color w:val="000000"/>
                <w:szCs w:val="22"/>
                <w:lang w:eastAsia="en-GB"/>
              </w:rPr>
              <w:t xml:space="preserve">bycatch </w:t>
            </w:r>
            <w:r w:rsidR="006038A2">
              <w:rPr>
                <w:rFonts w:ascii="Calibri" w:hAnsi="Calibri" w:cs="Calibri"/>
                <w:color w:val="000000"/>
                <w:szCs w:val="22"/>
                <w:lang w:eastAsia="en-GB"/>
              </w:rPr>
              <w:t>are</w:t>
            </w:r>
            <w:r w:rsidR="004977FF">
              <w:rPr>
                <w:rFonts w:ascii="Calibri" w:hAnsi="Calibri" w:cs="Calibri"/>
                <w:color w:val="000000"/>
                <w:szCs w:val="22"/>
                <w:lang w:eastAsia="en-GB"/>
              </w:rPr>
              <w:t xml:space="preserve"> returned to the sea live,</w:t>
            </w:r>
            <w:r w:rsidR="00EE5C1A">
              <w:rPr>
                <w:rFonts w:ascii="Calibri" w:hAnsi="Calibri" w:cs="Calibri"/>
                <w:color w:val="000000"/>
                <w:szCs w:val="22"/>
                <w:lang w:eastAsia="en-GB"/>
              </w:rPr>
              <w:t xml:space="preserve"> and assumed to have a high survival rate (&gt;90%).</w:t>
            </w:r>
            <w:r w:rsidR="004977FF">
              <w:rPr>
                <w:rFonts w:ascii="Calibri" w:hAnsi="Calibri" w:cs="Calibri"/>
                <w:color w:val="000000"/>
                <w:szCs w:val="22"/>
                <w:lang w:eastAsia="en-GB"/>
              </w:rPr>
              <w:t xml:space="preserve"> </w:t>
            </w:r>
          </w:p>
        </w:tc>
      </w:tr>
      <w:tr w:rsidR="00FA7D41" w:rsidRPr="005C0C94" w14:paraId="490A0769" w14:textId="77777777" w:rsidTr="00FF0857">
        <w:trPr>
          <w:trHeight w:val="540"/>
        </w:trPr>
        <w:tc>
          <w:tcPr>
            <w:tcW w:w="1036" w:type="dxa"/>
            <w:vMerge/>
            <w:tcBorders>
              <w:left w:val="single" w:sz="8" w:space="0" w:color="auto"/>
              <w:right w:val="single" w:sz="8" w:space="0" w:color="auto"/>
            </w:tcBorders>
          </w:tcPr>
          <w:p w14:paraId="435D7FBD" w14:textId="77777777" w:rsidR="00FA7D41" w:rsidRPr="00323770" w:rsidRDefault="00FA7D41" w:rsidP="002432AC">
            <w:pPr>
              <w:rPr>
                <w:rFonts w:cs="Arial"/>
                <w:color w:val="000000"/>
                <w:sz w:val="20"/>
                <w:szCs w:val="20"/>
                <w:lang w:eastAsia="en-GB"/>
              </w:rPr>
            </w:pPr>
          </w:p>
        </w:tc>
        <w:tc>
          <w:tcPr>
            <w:tcW w:w="1418" w:type="dxa"/>
            <w:vMerge/>
            <w:tcBorders>
              <w:left w:val="single" w:sz="8" w:space="0" w:color="auto"/>
              <w:bottom w:val="single" w:sz="4" w:space="0" w:color="auto"/>
              <w:right w:val="single" w:sz="8" w:space="0" w:color="auto"/>
            </w:tcBorders>
            <w:shd w:val="clear" w:color="auto" w:fill="auto"/>
            <w:vAlign w:val="center"/>
            <w:hideMark/>
          </w:tcPr>
          <w:p w14:paraId="74FA611B" w14:textId="77777777" w:rsidR="00FA7D41" w:rsidRPr="00323770" w:rsidRDefault="00FA7D41" w:rsidP="002432AC">
            <w:pPr>
              <w:rPr>
                <w:rFonts w:cs="Arial"/>
                <w:color w:val="000000"/>
                <w:sz w:val="20"/>
                <w:szCs w:val="20"/>
                <w:lang w:eastAsia="en-GB"/>
              </w:rPr>
            </w:pPr>
          </w:p>
        </w:tc>
        <w:tc>
          <w:tcPr>
            <w:tcW w:w="709" w:type="dxa"/>
            <w:tcBorders>
              <w:top w:val="nil"/>
              <w:left w:val="nil"/>
              <w:bottom w:val="single" w:sz="4" w:space="0" w:color="auto"/>
              <w:right w:val="single" w:sz="8" w:space="0" w:color="auto"/>
            </w:tcBorders>
            <w:shd w:val="clear" w:color="auto" w:fill="auto"/>
            <w:vAlign w:val="center"/>
            <w:hideMark/>
          </w:tcPr>
          <w:p w14:paraId="446C34C8"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1.2.4</w:t>
            </w:r>
          </w:p>
        </w:tc>
        <w:tc>
          <w:tcPr>
            <w:tcW w:w="1559" w:type="dxa"/>
            <w:tcBorders>
              <w:top w:val="nil"/>
              <w:left w:val="nil"/>
              <w:bottom w:val="single" w:sz="4" w:space="0" w:color="auto"/>
              <w:right w:val="single" w:sz="8" w:space="0" w:color="auto"/>
            </w:tcBorders>
            <w:shd w:val="clear" w:color="auto" w:fill="auto"/>
            <w:vAlign w:val="center"/>
            <w:hideMark/>
          </w:tcPr>
          <w:p w14:paraId="0631ACC2"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Assessment of stock status</w:t>
            </w:r>
          </w:p>
        </w:tc>
        <w:tc>
          <w:tcPr>
            <w:tcW w:w="992" w:type="dxa"/>
            <w:tcBorders>
              <w:top w:val="nil"/>
              <w:left w:val="nil"/>
              <w:bottom w:val="single" w:sz="4" w:space="0" w:color="auto"/>
              <w:right w:val="single" w:sz="8" w:space="0" w:color="auto"/>
            </w:tcBorders>
            <w:shd w:val="clear" w:color="auto" w:fill="auto"/>
            <w:vAlign w:val="center"/>
          </w:tcPr>
          <w:p w14:paraId="3ABD489F" w14:textId="68CCDCEB"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N</w:t>
            </w:r>
            <w:r w:rsidR="008803A1">
              <w:rPr>
                <w:rFonts w:cs="Arial"/>
                <w:color w:val="000000"/>
                <w:sz w:val="20"/>
                <w:szCs w:val="20"/>
                <w:lang w:eastAsia="en-GB"/>
              </w:rPr>
              <w:t>/</w:t>
            </w:r>
            <w:r w:rsidRPr="00323770">
              <w:rPr>
                <w:rFonts w:cs="Arial"/>
                <w:color w:val="000000"/>
                <w:sz w:val="20"/>
                <w:szCs w:val="20"/>
                <w:lang w:eastAsia="en-GB"/>
              </w:rPr>
              <w:t>A</w:t>
            </w:r>
          </w:p>
        </w:tc>
        <w:tc>
          <w:tcPr>
            <w:tcW w:w="851" w:type="dxa"/>
            <w:tcBorders>
              <w:top w:val="single" w:sz="8" w:space="0" w:color="auto"/>
              <w:left w:val="nil"/>
              <w:bottom w:val="single" w:sz="4" w:space="0" w:color="auto"/>
              <w:right w:val="single" w:sz="8" w:space="0" w:color="auto"/>
            </w:tcBorders>
            <w:shd w:val="clear" w:color="auto" w:fill="C2D69B" w:themeFill="accent3" w:themeFillTint="99"/>
            <w:vAlign w:val="center"/>
          </w:tcPr>
          <w:p w14:paraId="0A97D3CE" w14:textId="7C246CE3" w:rsidR="00FA7D41" w:rsidRPr="00323770" w:rsidRDefault="000A39D4" w:rsidP="00FF0857">
            <w:pPr>
              <w:rPr>
                <w:rFonts w:cs="Arial"/>
                <w:color w:val="000000"/>
                <w:lang w:eastAsia="en-GB"/>
              </w:rPr>
            </w:pPr>
            <w:r w:rsidRPr="00DA4A8C">
              <w:rPr>
                <w:rFonts w:cs="Arial"/>
                <w:color w:val="000000"/>
                <w:lang w:eastAsia="en-GB"/>
              </w:rPr>
              <w:t>≥80</w:t>
            </w:r>
          </w:p>
        </w:tc>
        <w:tc>
          <w:tcPr>
            <w:tcW w:w="8204" w:type="dxa"/>
            <w:tcBorders>
              <w:top w:val="nil"/>
              <w:left w:val="single" w:sz="4" w:space="0" w:color="auto"/>
              <w:bottom w:val="single" w:sz="4" w:space="0" w:color="auto"/>
              <w:right w:val="single" w:sz="8" w:space="0" w:color="auto"/>
            </w:tcBorders>
            <w:shd w:val="clear" w:color="auto" w:fill="auto"/>
            <w:vAlign w:val="center"/>
          </w:tcPr>
          <w:p w14:paraId="7DA549B8" w14:textId="799A992A" w:rsidR="00895B33" w:rsidRPr="00EE5C1A" w:rsidRDefault="0023364D" w:rsidP="001D3708">
            <w:pPr>
              <w:rPr>
                <w:rFonts w:ascii="Calibri" w:hAnsi="Calibri" w:cs="Calibri"/>
                <w:color w:val="000000"/>
                <w:szCs w:val="22"/>
                <w:lang w:eastAsia="en-GB"/>
              </w:rPr>
            </w:pPr>
            <w:r w:rsidRPr="00072676">
              <w:rPr>
                <w:rFonts w:ascii="Calibri" w:hAnsi="Calibri" w:cs="Calibri"/>
                <w:color w:val="000000"/>
                <w:szCs w:val="22"/>
                <w:lang w:eastAsia="en-GB"/>
              </w:rPr>
              <w:t>The assessment is appropriate for the stock (SG80a) and estimates the status relative to reference points (SG60b). The assessment identifies some sources of uncertainty but does not take them into account (SG60c). Equilibrium assumptions apply. The assessment has not been tested and different approaches have not been explored (&lt;SG100d). The assessment may have been subject to internal, but not external, peer review (&lt;SG100e)</w:t>
            </w:r>
          </w:p>
        </w:tc>
      </w:tr>
      <w:tr w:rsidR="00FA7D41" w:rsidRPr="005C0C94" w14:paraId="3C9050C8" w14:textId="77777777" w:rsidTr="00483E05">
        <w:trPr>
          <w:trHeight w:val="540"/>
        </w:trPr>
        <w:tc>
          <w:tcPr>
            <w:tcW w:w="1036" w:type="dxa"/>
            <w:vMerge/>
            <w:tcBorders>
              <w:left w:val="single" w:sz="8" w:space="0" w:color="auto"/>
              <w:bottom w:val="single" w:sz="4" w:space="0" w:color="auto"/>
              <w:right w:val="single" w:sz="8" w:space="0" w:color="auto"/>
            </w:tcBorders>
          </w:tcPr>
          <w:p w14:paraId="20CB32D2" w14:textId="77777777" w:rsidR="00FA7D41" w:rsidRPr="00323770" w:rsidRDefault="00FA7D41" w:rsidP="002432AC">
            <w:pPr>
              <w:rPr>
                <w:rFonts w:cs="Arial"/>
                <w:color w:val="000000"/>
                <w:sz w:val="20"/>
                <w:szCs w:val="20"/>
                <w:lang w:eastAsia="en-GB"/>
              </w:rPr>
            </w:pPr>
          </w:p>
        </w:tc>
        <w:tc>
          <w:tcPr>
            <w:tcW w:w="5529" w:type="dxa"/>
            <w:gridSpan w:val="5"/>
            <w:tcBorders>
              <w:left w:val="single" w:sz="8" w:space="0" w:color="auto"/>
              <w:bottom w:val="single" w:sz="4" w:space="0" w:color="auto"/>
              <w:right w:val="single" w:sz="8" w:space="0" w:color="auto"/>
            </w:tcBorders>
            <w:shd w:val="clear" w:color="auto" w:fill="auto"/>
            <w:vAlign w:val="center"/>
          </w:tcPr>
          <w:p w14:paraId="2E695671" w14:textId="77777777" w:rsidR="00FA7D41" w:rsidRPr="00323770" w:rsidRDefault="00FA7D41" w:rsidP="008F313C">
            <w:pPr>
              <w:jc w:val="center"/>
              <w:rPr>
                <w:rFonts w:cs="Arial"/>
                <w:b/>
                <w:color w:val="000000"/>
                <w:lang w:eastAsia="en-GB"/>
              </w:rPr>
            </w:pPr>
            <w:r w:rsidRPr="00323770">
              <w:rPr>
                <w:rFonts w:cs="Arial"/>
                <w:b/>
                <w:color w:val="000000"/>
                <w:lang w:eastAsia="en-GB"/>
              </w:rPr>
              <w:t>Number of PIs less than 60</w:t>
            </w:r>
          </w:p>
        </w:tc>
        <w:tc>
          <w:tcPr>
            <w:tcW w:w="8204" w:type="dxa"/>
            <w:tcBorders>
              <w:top w:val="nil"/>
              <w:left w:val="single" w:sz="4" w:space="0" w:color="auto"/>
              <w:bottom w:val="single" w:sz="4" w:space="0" w:color="auto"/>
              <w:right w:val="single" w:sz="8" w:space="0" w:color="auto"/>
            </w:tcBorders>
            <w:shd w:val="clear" w:color="auto" w:fill="auto"/>
            <w:vAlign w:val="center"/>
          </w:tcPr>
          <w:p w14:paraId="1A25F0B7" w14:textId="55BD29A0" w:rsidR="00FA7D41" w:rsidRPr="005C0C94" w:rsidRDefault="00FF5A54" w:rsidP="007D1E56">
            <w:pPr>
              <w:rPr>
                <w:rFonts w:cs="Arial"/>
                <w:color w:val="000000"/>
                <w:lang w:eastAsia="en-GB"/>
              </w:rPr>
            </w:pPr>
            <w:r>
              <w:rPr>
                <w:rFonts w:cs="Arial"/>
                <w:color w:val="000000"/>
                <w:lang w:eastAsia="en-GB"/>
              </w:rPr>
              <w:t>2</w:t>
            </w:r>
          </w:p>
        </w:tc>
      </w:tr>
    </w:tbl>
    <w:p w14:paraId="0C521A0B" w14:textId="6600E45C" w:rsidR="00483E05" w:rsidRDefault="00483E05"/>
    <w:p w14:paraId="4B45819A" w14:textId="61A665F5" w:rsidR="00BB556C" w:rsidRDefault="00BB556C">
      <w:pPr>
        <w:spacing w:after="0"/>
        <w:jc w:val="left"/>
      </w:pPr>
      <w:r>
        <w:br w:type="page"/>
      </w:r>
    </w:p>
    <w:p w14:paraId="47A25BEB" w14:textId="3D84A032" w:rsidR="00BB556C" w:rsidRDefault="00BB556C" w:rsidP="00BB556C">
      <w:pPr>
        <w:pStyle w:val="Caption"/>
      </w:pPr>
      <w:r>
        <w:lastRenderedPageBreak/>
        <w:t xml:space="preserve">Table </w:t>
      </w:r>
      <w:r w:rsidR="002D4E32">
        <w:t>A1.2</w:t>
      </w:r>
      <w:r w:rsidRPr="00BB556C">
        <w:t xml:space="preserve">: Simplified Scoring sheet – Principle </w:t>
      </w:r>
      <w:r>
        <w:t>2</w:t>
      </w:r>
    </w:p>
    <w:tbl>
      <w:tblPr>
        <w:tblW w:w="14769" w:type="dxa"/>
        <w:tblInd w:w="93" w:type="dxa"/>
        <w:tblLayout w:type="fixed"/>
        <w:tblLook w:val="04A0" w:firstRow="1" w:lastRow="0" w:firstColumn="1" w:lastColumn="0" w:noHBand="0" w:noVBand="1"/>
      </w:tblPr>
      <w:tblGrid>
        <w:gridCol w:w="1036"/>
        <w:gridCol w:w="1418"/>
        <w:gridCol w:w="709"/>
        <w:gridCol w:w="1559"/>
        <w:gridCol w:w="992"/>
        <w:gridCol w:w="851"/>
        <w:gridCol w:w="8204"/>
      </w:tblGrid>
      <w:tr w:rsidR="00483E05" w:rsidRPr="005C0C94" w14:paraId="0AEBD116" w14:textId="77777777" w:rsidTr="00483E05">
        <w:trPr>
          <w:trHeight w:val="804"/>
          <w:tblHeader/>
        </w:trPr>
        <w:tc>
          <w:tcPr>
            <w:tcW w:w="1036" w:type="dxa"/>
            <w:tcBorders>
              <w:top w:val="single" w:sz="8" w:space="0" w:color="auto"/>
              <w:left w:val="single" w:sz="4" w:space="0" w:color="auto"/>
              <w:bottom w:val="single" w:sz="8" w:space="0" w:color="auto"/>
              <w:right w:val="single" w:sz="8" w:space="0" w:color="auto"/>
            </w:tcBorders>
            <w:shd w:val="clear" w:color="000000" w:fill="BFBFBF"/>
            <w:vAlign w:val="center"/>
          </w:tcPr>
          <w:p w14:paraId="766D39D1" w14:textId="77777777" w:rsidR="00483E05" w:rsidRPr="005C0C94" w:rsidRDefault="00483E05" w:rsidP="00752EA7">
            <w:pPr>
              <w:jc w:val="center"/>
              <w:rPr>
                <w:rFonts w:cs="Arial"/>
                <w:b/>
                <w:bCs/>
                <w:color w:val="000000"/>
                <w:sz w:val="20"/>
                <w:szCs w:val="20"/>
                <w:lang w:eastAsia="en-GB"/>
              </w:rPr>
            </w:pPr>
            <w:r w:rsidRPr="005C0C94">
              <w:rPr>
                <w:rFonts w:cs="Arial"/>
                <w:b/>
                <w:bCs/>
                <w:color w:val="000000"/>
                <w:sz w:val="20"/>
                <w:szCs w:val="20"/>
                <w:lang w:eastAsia="en-GB"/>
              </w:rPr>
              <w:t>Principle</w:t>
            </w:r>
          </w:p>
        </w:tc>
        <w:tc>
          <w:tcPr>
            <w:tcW w:w="1418" w:type="dxa"/>
            <w:tcBorders>
              <w:top w:val="single" w:sz="8" w:space="0" w:color="auto"/>
              <w:left w:val="single" w:sz="4" w:space="0" w:color="auto"/>
              <w:bottom w:val="single" w:sz="8" w:space="0" w:color="auto"/>
              <w:right w:val="single" w:sz="8" w:space="0" w:color="auto"/>
            </w:tcBorders>
            <w:shd w:val="clear" w:color="000000" w:fill="BFBFBF"/>
            <w:vAlign w:val="center"/>
            <w:hideMark/>
          </w:tcPr>
          <w:p w14:paraId="575008ED" w14:textId="77777777" w:rsidR="00483E05" w:rsidRPr="005C0C94" w:rsidRDefault="00483E05" w:rsidP="00752EA7">
            <w:pPr>
              <w:jc w:val="center"/>
              <w:rPr>
                <w:rFonts w:cs="Arial"/>
                <w:b/>
                <w:bCs/>
                <w:color w:val="000000"/>
                <w:sz w:val="20"/>
                <w:szCs w:val="20"/>
                <w:lang w:eastAsia="en-GB"/>
              </w:rPr>
            </w:pPr>
            <w:r w:rsidRPr="005C0C94">
              <w:rPr>
                <w:rFonts w:cs="Arial"/>
                <w:b/>
                <w:bCs/>
                <w:color w:val="000000"/>
                <w:sz w:val="20"/>
                <w:szCs w:val="20"/>
                <w:lang w:eastAsia="en-GB"/>
              </w:rPr>
              <w:t>Component</w:t>
            </w:r>
          </w:p>
        </w:tc>
        <w:tc>
          <w:tcPr>
            <w:tcW w:w="709" w:type="dxa"/>
            <w:tcBorders>
              <w:top w:val="single" w:sz="8" w:space="0" w:color="auto"/>
              <w:left w:val="nil"/>
              <w:bottom w:val="single" w:sz="8" w:space="0" w:color="auto"/>
              <w:right w:val="single" w:sz="8" w:space="0" w:color="auto"/>
            </w:tcBorders>
            <w:shd w:val="clear" w:color="000000" w:fill="BFBFBF"/>
            <w:vAlign w:val="center"/>
            <w:hideMark/>
          </w:tcPr>
          <w:p w14:paraId="34734BA2" w14:textId="77777777" w:rsidR="00483E05" w:rsidRPr="005C0C94" w:rsidRDefault="00483E05" w:rsidP="00752EA7">
            <w:pPr>
              <w:jc w:val="center"/>
              <w:rPr>
                <w:rFonts w:cs="Arial"/>
                <w:b/>
                <w:bCs/>
                <w:color w:val="000000"/>
                <w:sz w:val="20"/>
                <w:szCs w:val="20"/>
                <w:lang w:eastAsia="en-GB"/>
              </w:rPr>
            </w:pPr>
            <w:r w:rsidRPr="005C0C94">
              <w:rPr>
                <w:rFonts w:cs="Arial"/>
                <w:b/>
                <w:bCs/>
                <w:color w:val="000000"/>
                <w:sz w:val="20"/>
                <w:szCs w:val="20"/>
                <w:lang w:eastAsia="en-GB"/>
              </w:rPr>
              <w:t xml:space="preserve">PI </w:t>
            </w:r>
          </w:p>
        </w:tc>
        <w:tc>
          <w:tcPr>
            <w:tcW w:w="1559" w:type="dxa"/>
            <w:tcBorders>
              <w:top w:val="single" w:sz="8" w:space="0" w:color="auto"/>
              <w:left w:val="nil"/>
              <w:bottom w:val="single" w:sz="8" w:space="0" w:color="auto"/>
              <w:right w:val="single" w:sz="8" w:space="0" w:color="auto"/>
            </w:tcBorders>
            <w:shd w:val="clear" w:color="000000" w:fill="BFBFBF"/>
            <w:vAlign w:val="center"/>
            <w:hideMark/>
          </w:tcPr>
          <w:p w14:paraId="46295008" w14:textId="77777777" w:rsidR="00483E05" w:rsidRPr="005C0C94" w:rsidRDefault="00483E05" w:rsidP="00752EA7">
            <w:pPr>
              <w:jc w:val="center"/>
              <w:rPr>
                <w:rFonts w:cs="Arial"/>
                <w:b/>
                <w:bCs/>
                <w:color w:val="000000"/>
                <w:sz w:val="20"/>
                <w:szCs w:val="20"/>
                <w:lang w:eastAsia="en-GB"/>
              </w:rPr>
            </w:pPr>
            <w:r w:rsidRPr="005C0C94">
              <w:rPr>
                <w:rFonts w:cs="Arial"/>
                <w:b/>
                <w:bCs/>
                <w:color w:val="000000"/>
                <w:sz w:val="20"/>
                <w:szCs w:val="20"/>
                <w:lang w:eastAsia="en-GB"/>
              </w:rPr>
              <w:t>Performance Indicator</w:t>
            </w:r>
          </w:p>
        </w:tc>
        <w:tc>
          <w:tcPr>
            <w:tcW w:w="992" w:type="dxa"/>
            <w:tcBorders>
              <w:top w:val="single" w:sz="8" w:space="0" w:color="auto"/>
              <w:left w:val="nil"/>
              <w:bottom w:val="single" w:sz="8" w:space="0" w:color="auto"/>
              <w:right w:val="single" w:sz="8" w:space="0" w:color="auto"/>
            </w:tcBorders>
            <w:shd w:val="clear" w:color="000000" w:fill="BFBFBF"/>
            <w:vAlign w:val="center"/>
            <w:hideMark/>
          </w:tcPr>
          <w:p w14:paraId="39F01601" w14:textId="3BF5E381" w:rsidR="00483E05" w:rsidRPr="005C0C94" w:rsidRDefault="00483E05" w:rsidP="00752EA7">
            <w:pPr>
              <w:jc w:val="center"/>
              <w:rPr>
                <w:rFonts w:cs="Arial"/>
                <w:b/>
                <w:bCs/>
                <w:color w:val="000000"/>
                <w:sz w:val="20"/>
                <w:szCs w:val="20"/>
                <w:lang w:eastAsia="en-GB"/>
              </w:rPr>
            </w:pPr>
            <w:r w:rsidRPr="005C0C94">
              <w:rPr>
                <w:rFonts w:cs="Arial"/>
                <w:b/>
                <w:bCs/>
                <w:color w:val="000000"/>
                <w:sz w:val="20"/>
                <w:szCs w:val="20"/>
                <w:lang w:eastAsia="en-GB"/>
              </w:rPr>
              <w:t xml:space="preserve">RBF </w:t>
            </w:r>
            <w:r>
              <w:rPr>
                <w:rFonts w:cs="Arial"/>
                <w:b/>
                <w:bCs/>
                <w:color w:val="000000"/>
                <w:sz w:val="20"/>
                <w:szCs w:val="20"/>
                <w:lang w:eastAsia="en-GB"/>
              </w:rPr>
              <w:t>required</w:t>
            </w:r>
            <w:r w:rsidRPr="005C0C94">
              <w:rPr>
                <w:rFonts w:cs="Arial"/>
                <w:b/>
                <w:bCs/>
                <w:color w:val="000000"/>
                <w:sz w:val="20"/>
                <w:szCs w:val="20"/>
                <w:lang w:eastAsia="en-GB"/>
              </w:rPr>
              <w:t xml:space="preserve"> (y/n)</w:t>
            </w:r>
          </w:p>
        </w:tc>
        <w:tc>
          <w:tcPr>
            <w:tcW w:w="851" w:type="dxa"/>
            <w:tcBorders>
              <w:top w:val="single" w:sz="8" w:space="0" w:color="auto"/>
              <w:left w:val="nil"/>
              <w:bottom w:val="single" w:sz="8" w:space="0" w:color="auto"/>
              <w:right w:val="single" w:sz="8" w:space="0" w:color="auto"/>
            </w:tcBorders>
            <w:shd w:val="clear" w:color="000000" w:fill="BFBFBF"/>
            <w:vAlign w:val="center"/>
            <w:hideMark/>
          </w:tcPr>
          <w:p w14:paraId="4A88E8B3" w14:textId="77777777" w:rsidR="00483E05" w:rsidRPr="005C0C94" w:rsidRDefault="00483E05" w:rsidP="00752EA7">
            <w:pPr>
              <w:jc w:val="center"/>
              <w:rPr>
                <w:rFonts w:cs="Arial"/>
                <w:b/>
                <w:bCs/>
                <w:color w:val="000000"/>
                <w:sz w:val="20"/>
                <w:szCs w:val="20"/>
                <w:lang w:eastAsia="en-GB"/>
              </w:rPr>
            </w:pPr>
            <w:r w:rsidRPr="005C0C94">
              <w:rPr>
                <w:rFonts w:cs="Arial"/>
                <w:b/>
                <w:bCs/>
                <w:color w:val="000000"/>
                <w:sz w:val="20"/>
                <w:szCs w:val="20"/>
                <w:lang w:eastAsia="en-GB"/>
              </w:rPr>
              <w:t>Likely scoring level</w:t>
            </w:r>
          </w:p>
        </w:tc>
        <w:tc>
          <w:tcPr>
            <w:tcW w:w="8204" w:type="dxa"/>
            <w:tcBorders>
              <w:top w:val="single" w:sz="8" w:space="0" w:color="auto"/>
              <w:left w:val="single" w:sz="4" w:space="0" w:color="auto"/>
              <w:bottom w:val="single" w:sz="8" w:space="0" w:color="auto"/>
              <w:right w:val="single" w:sz="8" w:space="0" w:color="auto"/>
            </w:tcBorders>
            <w:shd w:val="clear" w:color="000000" w:fill="BFBFBF"/>
            <w:vAlign w:val="center"/>
            <w:hideMark/>
          </w:tcPr>
          <w:p w14:paraId="0153E7AF" w14:textId="77777777" w:rsidR="00483E05" w:rsidRPr="005C0C94" w:rsidRDefault="00483E05" w:rsidP="00752EA7">
            <w:pPr>
              <w:jc w:val="center"/>
              <w:rPr>
                <w:rFonts w:cs="Arial"/>
                <w:b/>
                <w:bCs/>
                <w:color w:val="000000"/>
                <w:sz w:val="20"/>
                <w:szCs w:val="20"/>
                <w:lang w:eastAsia="en-GB"/>
              </w:rPr>
            </w:pPr>
            <w:r w:rsidRPr="005C0C94">
              <w:rPr>
                <w:rFonts w:cs="Arial"/>
                <w:b/>
                <w:bCs/>
                <w:color w:val="000000"/>
                <w:sz w:val="20"/>
                <w:szCs w:val="20"/>
                <w:lang w:eastAsia="en-GB"/>
              </w:rPr>
              <w:t>Rationale/ Key points</w:t>
            </w:r>
          </w:p>
        </w:tc>
      </w:tr>
      <w:tr w:rsidR="00FA7D41" w:rsidRPr="005C0C94" w14:paraId="4B6EA548" w14:textId="77777777" w:rsidTr="00FF0857">
        <w:trPr>
          <w:trHeight w:val="540"/>
        </w:trPr>
        <w:tc>
          <w:tcPr>
            <w:tcW w:w="1036" w:type="dxa"/>
            <w:vMerge w:val="restart"/>
            <w:tcBorders>
              <w:top w:val="single" w:sz="4" w:space="0" w:color="auto"/>
              <w:left w:val="single" w:sz="4" w:space="0" w:color="auto"/>
              <w:right w:val="single" w:sz="4" w:space="0" w:color="auto"/>
            </w:tcBorders>
            <w:vAlign w:val="center"/>
          </w:tcPr>
          <w:p w14:paraId="0777DA42" w14:textId="77777777" w:rsidR="00FA7D41" w:rsidRPr="00323770" w:rsidRDefault="00FA7D41" w:rsidP="008F313C">
            <w:pPr>
              <w:jc w:val="center"/>
              <w:rPr>
                <w:rFonts w:cs="Arial"/>
                <w:color w:val="000000"/>
                <w:sz w:val="20"/>
                <w:szCs w:val="20"/>
                <w:lang w:eastAsia="en-GB"/>
              </w:rPr>
            </w:pPr>
            <w:r w:rsidRPr="00323770">
              <w:rPr>
                <w:rFonts w:cs="Arial"/>
                <w:color w:val="000000"/>
                <w:sz w:val="20"/>
                <w:szCs w:val="20"/>
                <w:lang w:eastAsia="en-GB"/>
              </w:rPr>
              <w:t>2</w:t>
            </w:r>
          </w:p>
        </w:tc>
        <w:tc>
          <w:tcPr>
            <w:tcW w:w="1418" w:type="dxa"/>
            <w:vMerge w:val="restart"/>
            <w:tcBorders>
              <w:top w:val="single" w:sz="4" w:space="0" w:color="auto"/>
              <w:left w:val="single" w:sz="4" w:space="0" w:color="auto"/>
              <w:right w:val="single" w:sz="4" w:space="0" w:color="auto"/>
            </w:tcBorders>
            <w:shd w:val="clear" w:color="auto" w:fill="auto"/>
            <w:vAlign w:val="center"/>
          </w:tcPr>
          <w:p w14:paraId="1BFCC209"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Primary Species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ACA59E"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2.1.1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C5A69C6"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Outcome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398C6CC" w14:textId="7764C54A"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No</w:t>
            </w:r>
          </w:p>
        </w:tc>
        <w:tc>
          <w:tcPr>
            <w:tcW w:w="8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670F28DE" w14:textId="72020931" w:rsidR="00FA7D41" w:rsidRPr="00323770" w:rsidRDefault="000A39D4" w:rsidP="00FF0857">
            <w:pPr>
              <w:rPr>
                <w:rFonts w:cs="Arial"/>
                <w:color w:val="000000"/>
                <w:lang w:eastAsia="en-GB"/>
              </w:rPr>
            </w:pPr>
            <w:r w:rsidRPr="00DA4A8C">
              <w:rPr>
                <w:rFonts w:cs="Arial"/>
                <w:color w:val="000000"/>
                <w:lang w:eastAsia="en-GB"/>
              </w:rPr>
              <w:t>≥80</w:t>
            </w:r>
          </w:p>
        </w:tc>
        <w:tc>
          <w:tcPr>
            <w:tcW w:w="8204" w:type="dxa"/>
            <w:tcBorders>
              <w:top w:val="single" w:sz="4" w:space="0" w:color="auto"/>
              <w:left w:val="single" w:sz="4" w:space="0" w:color="auto"/>
              <w:bottom w:val="single" w:sz="4" w:space="0" w:color="auto"/>
              <w:right w:val="single" w:sz="4" w:space="0" w:color="auto"/>
            </w:tcBorders>
            <w:shd w:val="clear" w:color="auto" w:fill="auto"/>
            <w:vAlign w:val="center"/>
          </w:tcPr>
          <w:p w14:paraId="70234739" w14:textId="3ADCBE2A" w:rsidR="004D38BD" w:rsidRDefault="004D38BD" w:rsidP="004D38BD">
            <w:pPr>
              <w:rPr>
                <w:rFonts w:ascii="Calibri" w:hAnsi="Calibri" w:cs="Calibri"/>
                <w:szCs w:val="22"/>
                <w:lang w:eastAsia="en-GB"/>
              </w:rPr>
            </w:pPr>
            <w:r>
              <w:rPr>
                <w:rFonts w:ascii="Calibri" w:hAnsi="Calibri" w:cs="Calibri"/>
                <w:szCs w:val="22"/>
                <w:lang w:eastAsia="en-GB"/>
              </w:rPr>
              <w:t>The only main primary species caught in the edible crab potting fishery is lobster.  Other primary species, such as occasional catches of cod and bass, a</w:t>
            </w:r>
            <w:r w:rsidR="0052328B">
              <w:rPr>
                <w:rFonts w:ascii="Calibri" w:hAnsi="Calibri" w:cs="Calibri"/>
                <w:szCs w:val="22"/>
                <w:lang w:eastAsia="en-GB"/>
              </w:rPr>
              <w:t>r</w:t>
            </w:r>
            <w:r>
              <w:rPr>
                <w:rFonts w:ascii="Calibri" w:hAnsi="Calibri" w:cs="Calibri"/>
                <w:szCs w:val="22"/>
                <w:lang w:eastAsia="en-GB"/>
              </w:rPr>
              <w:t>e likely to be minor and will not affect scoring below 80, regardless of status.</w:t>
            </w:r>
          </w:p>
          <w:p w14:paraId="210112B9" w14:textId="77777777" w:rsidR="00FA7D41" w:rsidRDefault="004D38BD" w:rsidP="004D38BD">
            <w:pPr>
              <w:rPr>
                <w:rFonts w:cs="Arial"/>
                <w:color w:val="000000"/>
                <w:lang w:eastAsia="en-GB"/>
              </w:rPr>
            </w:pPr>
            <w:r w:rsidRPr="004D38BD">
              <w:rPr>
                <w:rFonts w:ascii="Calibri" w:hAnsi="Calibri" w:cs="Calibri"/>
                <w:b/>
                <w:szCs w:val="22"/>
                <w:lang w:eastAsia="en-GB"/>
              </w:rPr>
              <w:t>Lobster:</w:t>
            </w:r>
            <w:r>
              <w:rPr>
                <w:rFonts w:ascii="Calibri" w:hAnsi="Calibri" w:cs="Calibri"/>
                <w:szCs w:val="22"/>
                <w:lang w:eastAsia="en-GB"/>
              </w:rPr>
              <w:t xml:space="preserve"> </w:t>
            </w:r>
            <w:r w:rsidR="007A0DB8">
              <w:rPr>
                <w:rFonts w:ascii="Calibri" w:hAnsi="Calibri" w:cs="Calibri"/>
                <w:szCs w:val="22"/>
                <w:lang w:eastAsia="en-GB"/>
              </w:rPr>
              <w:t>The most recent assessment (2014) indicates that the stock size is a</w:t>
            </w:r>
            <w:r w:rsidR="007A0DB8" w:rsidRPr="007A0DB8">
              <w:rPr>
                <w:rFonts w:ascii="Calibri" w:hAnsi="Calibri" w:cs="Calibri"/>
                <w:szCs w:val="22"/>
                <w:lang w:eastAsia="en-GB"/>
              </w:rPr>
              <w:t xml:space="preserve">bove </w:t>
            </w:r>
            <w:proofErr w:type="spellStart"/>
            <w:r w:rsidR="007A0DB8">
              <w:rPr>
                <w:rFonts w:ascii="Calibri" w:hAnsi="Calibri" w:cs="Calibri"/>
                <w:szCs w:val="22"/>
                <w:lang w:eastAsia="en-GB"/>
              </w:rPr>
              <w:t>MSY</w:t>
            </w:r>
            <w:r w:rsidR="007A0DB8" w:rsidRPr="007A0DB8">
              <w:rPr>
                <w:rFonts w:ascii="Calibri" w:hAnsi="Calibri" w:cs="Calibri"/>
                <w:szCs w:val="22"/>
                <w:vertAlign w:val="subscript"/>
                <w:lang w:eastAsia="en-GB"/>
              </w:rPr>
              <w:t>limit</w:t>
            </w:r>
            <w:proofErr w:type="spellEnd"/>
            <w:r w:rsidR="007A0DB8">
              <w:rPr>
                <w:rFonts w:ascii="Calibri" w:hAnsi="Calibri" w:cs="Calibri"/>
                <w:szCs w:val="22"/>
                <w:lang w:eastAsia="en-GB"/>
              </w:rPr>
              <w:t xml:space="preserve"> </w:t>
            </w:r>
            <w:r w:rsidR="007A0DB8" w:rsidRPr="007A0DB8">
              <w:rPr>
                <w:rFonts w:ascii="Calibri" w:hAnsi="Calibri" w:cs="Calibri"/>
                <w:szCs w:val="22"/>
                <w:lang w:eastAsia="en-GB"/>
              </w:rPr>
              <w:t xml:space="preserve">but below </w:t>
            </w:r>
            <w:proofErr w:type="spellStart"/>
            <w:r w:rsidR="007A0DB8" w:rsidRPr="007A0DB8">
              <w:rPr>
                <w:rFonts w:ascii="Calibri" w:hAnsi="Calibri" w:cs="Calibri"/>
                <w:szCs w:val="22"/>
                <w:lang w:eastAsia="en-GB"/>
              </w:rPr>
              <w:t>MSY</w:t>
            </w:r>
            <w:r w:rsidR="007A0DB8" w:rsidRPr="007A0DB8">
              <w:rPr>
                <w:rFonts w:ascii="Calibri" w:hAnsi="Calibri" w:cs="Calibri"/>
                <w:szCs w:val="22"/>
                <w:vertAlign w:val="subscript"/>
                <w:lang w:eastAsia="en-GB"/>
              </w:rPr>
              <w:t>target</w:t>
            </w:r>
            <w:proofErr w:type="spellEnd"/>
            <w:r w:rsidR="007A0DB8">
              <w:rPr>
                <w:rFonts w:ascii="Calibri" w:hAnsi="Calibri" w:cs="Calibri"/>
                <w:szCs w:val="22"/>
                <w:lang w:eastAsia="en-GB"/>
              </w:rPr>
              <w:t>, and that the e</w:t>
            </w:r>
            <w:r w:rsidR="007A0DB8" w:rsidRPr="007A0DB8">
              <w:rPr>
                <w:rFonts w:ascii="Calibri" w:hAnsi="Calibri" w:cs="Calibri"/>
                <w:szCs w:val="22"/>
                <w:lang w:eastAsia="en-GB"/>
              </w:rPr>
              <w:t>xploitation rate</w:t>
            </w:r>
            <w:r w:rsidR="007A0DB8">
              <w:rPr>
                <w:rFonts w:ascii="Calibri" w:hAnsi="Calibri" w:cs="Calibri"/>
                <w:szCs w:val="22"/>
                <w:lang w:eastAsia="en-GB"/>
              </w:rPr>
              <w:t xml:space="preserve"> is m</w:t>
            </w:r>
            <w:r w:rsidR="007A0DB8" w:rsidRPr="007A0DB8">
              <w:rPr>
                <w:rFonts w:ascii="Calibri" w:hAnsi="Calibri" w:cs="Calibri"/>
                <w:szCs w:val="22"/>
                <w:lang w:eastAsia="en-GB"/>
              </w:rPr>
              <w:t>oderate</w:t>
            </w:r>
            <w:r w:rsidR="007A0DB8">
              <w:rPr>
                <w:rFonts w:ascii="Calibri" w:hAnsi="Calibri" w:cs="Calibri"/>
                <w:szCs w:val="22"/>
                <w:lang w:eastAsia="en-GB"/>
              </w:rPr>
              <w:t xml:space="preserve"> though i</w:t>
            </w:r>
            <w:r w:rsidR="007A0DB8" w:rsidRPr="007A0DB8">
              <w:rPr>
                <w:rFonts w:ascii="Calibri" w:hAnsi="Calibri" w:cs="Calibri"/>
                <w:szCs w:val="22"/>
                <w:lang w:eastAsia="en-GB"/>
              </w:rPr>
              <w:t>ncreasing in recent years</w:t>
            </w:r>
            <w:r w:rsidR="007A0DB8">
              <w:rPr>
                <w:rFonts w:ascii="Calibri" w:hAnsi="Calibri" w:cs="Calibri"/>
                <w:szCs w:val="22"/>
                <w:lang w:eastAsia="en-GB"/>
              </w:rPr>
              <w:t xml:space="preserve"> (since 2010).  Exploitation is a</w:t>
            </w:r>
            <w:r w:rsidR="007A0DB8" w:rsidRPr="007A0DB8">
              <w:rPr>
                <w:rFonts w:ascii="Calibri" w:hAnsi="Calibri" w:cs="Calibri"/>
                <w:szCs w:val="22"/>
                <w:lang w:eastAsia="en-GB"/>
              </w:rPr>
              <w:t xml:space="preserve">bove rates consistent with MSY but below </w:t>
            </w:r>
            <w:r w:rsidR="007A0DB8">
              <w:rPr>
                <w:rFonts w:ascii="Calibri" w:hAnsi="Calibri" w:cs="Calibri"/>
                <w:szCs w:val="22"/>
                <w:lang w:eastAsia="en-GB"/>
              </w:rPr>
              <w:t xml:space="preserve">the </w:t>
            </w:r>
            <w:r w:rsidR="007A0DB8" w:rsidRPr="007A0DB8">
              <w:rPr>
                <w:rFonts w:ascii="Calibri" w:hAnsi="Calibri" w:cs="Calibri"/>
                <w:szCs w:val="22"/>
                <w:lang w:eastAsia="en-GB"/>
              </w:rPr>
              <w:t>maximum reference point limit</w:t>
            </w:r>
            <w:r w:rsidR="007A0DB8">
              <w:rPr>
                <w:rFonts w:ascii="Calibri" w:hAnsi="Calibri" w:cs="Calibri"/>
                <w:szCs w:val="22"/>
                <w:lang w:eastAsia="en-GB"/>
              </w:rPr>
              <w:t xml:space="preserve">.  At the minimum landing sizes (MLS’s) </w:t>
            </w:r>
            <w:r w:rsidR="007A0DB8" w:rsidRPr="007A0DB8">
              <w:rPr>
                <w:rFonts w:ascii="Calibri" w:hAnsi="Calibri" w:cs="Calibri"/>
                <w:szCs w:val="22"/>
                <w:lang w:eastAsia="en-GB"/>
              </w:rPr>
              <w:t>applied in this region between 99-100% of the males and 86-92% of the females should be mature</w:t>
            </w:r>
            <w:r w:rsidR="007A0DB8">
              <w:rPr>
                <w:rFonts w:ascii="Calibri" w:hAnsi="Calibri" w:cs="Calibri"/>
                <w:szCs w:val="22"/>
                <w:lang w:eastAsia="en-GB"/>
              </w:rPr>
              <w:t>.</w:t>
            </w:r>
            <w:r w:rsidR="007A0DB8" w:rsidRPr="007A0DB8">
              <w:rPr>
                <w:rFonts w:ascii="Calibri" w:hAnsi="Calibri" w:cs="Calibri"/>
                <w:szCs w:val="22"/>
                <w:lang w:eastAsia="en-GB"/>
              </w:rPr>
              <w:t xml:space="preserve"> The status of the stock has not changed since the last assessment in 2012.</w:t>
            </w:r>
            <w:r w:rsidR="007A0DB8" w:rsidRPr="007A0DB8">
              <w:rPr>
                <w:rFonts w:ascii="Arial" w:hAnsi="Arial" w:cs="Arial"/>
                <w:b/>
                <w:bCs/>
                <w:color w:val="000000"/>
                <w:szCs w:val="22"/>
              </w:rPr>
              <w:t xml:space="preserve"> </w:t>
            </w:r>
            <w:r w:rsidR="007A0DB8">
              <w:rPr>
                <w:rFonts w:cs="Arial"/>
                <w:color w:val="000000"/>
                <w:lang w:eastAsia="en-GB"/>
              </w:rPr>
              <w:t>This will lead to MSC scoring at the SG80 level.</w:t>
            </w:r>
          </w:p>
          <w:p w14:paraId="4B9FC5A8" w14:textId="12A6DA43" w:rsidR="00FF0857" w:rsidRPr="007A0DB8" w:rsidRDefault="00FF0857" w:rsidP="00FF0857">
            <w:pPr>
              <w:rPr>
                <w:rFonts w:ascii="Arial" w:hAnsi="Arial" w:cs="Arial"/>
                <w:color w:val="000000"/>
                <w:szCs w:val="22"/>
              </w:rPr>
            </w:pPr>
            <w:r>
              <w:rPr>
                <w:rFonts w:cs="Arial"/>
                <w:color w:val="000000"/>
                <w:lang w:eastAsia="en-GB"/>
              </w:rPr>
              <w:t>Lobster is expected to be above the PRI – the point where recruitment would be impaired.</w:t>
            </w:r>
          </w:p>
        </w:tc>
      </w:tr>
      <w:tr w:rsidR="00FA7D41" w:rsidRPr="005C0C94" w14:paraId="0BD8F4DB" w14:textId="77777777" w:rsidTr="000A39D4">
        <w:trPr>
          <w:trHeight w:val="540"/>
        </w:trPr>
        <w:tc>
          <w:tcPr>
            <w:tcW w:w="1036" w:type="dxa"/>
            <w:vMerge/>
            <w:tcBorders>
              <w:left w:val="single" w:sz="4" w:space="0" w:color="auto"/>
              <w:right w:val="single" w:sz="4" w:space="0" w:color="auto"/>
            </w:tcBorders>
          </w:tcPr>
          <w:p w14:paraId="6EC7A088" w14:textId="14704235" w:rsidR="00FA7D41" w:rsidRPr="00323770" w:rsidRDefault="00FA7D41" w:rsidP="002432AC">
            <w:pPr>
              <w:rPr>
                <w:rFonts w:cs="Arial"/>
                <w:color w:val="000000"/>
                <w:sz w:val="20"/>
                <w:szCs w:val="20"/>
                <w:lang w:eastAsia="en-GB"/>
              </w:rPr>
            </w:pPr>
          </w:p>
        </w:tc>
        <w:tc>
          <w:tcPr>
            <w:tcW w:w="1418" w:type="dxa"/>
            <w:vMerge/>
            <w:tcBorders>
              <w:left w:val="single" w:sz="4" w:space="0" w:color="auto"/>
              <w:right w:val="single" w:sz="4" w:space="0" w:color="auto"/>
            </w:tcBorders>
            <w:shd w:val="clear" w:color="auto" w:fill="auto"/>
            <w:vAlign w:val="center"/>
          </w:tcPr>
          <w:p w14:paraId="7B667864" w14:textId="77777777" w:rsidR="00FA7D41" w:rsidRPr="00323770" w:rsidRDefault="00FA7D41" w:rsidP="002432AC">
            <w:pPr>
              <w:rPr>
                <w:rFonts w:cs="Arial"/>
                <w:color w:val="000000"/>
                <w:sz w:val="20"/>
                <w:szCs w:val="20"/>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5257F41"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2.1.2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A8F9BE2"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Management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25BFA93" w14:textId="6FF1919B"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N/A</w:t>
            </w:r>
          </w:p>
        </w:tc>
        <w:tc>
          <w:tcPr>
            <w:tcW w:w="85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7DA8D28F" w14:textId="52E8F133" w:rsidR="00FA7D41" w:rsidRPr="00323770" w:rsidRDefault="00FF0857" w:rsidP="00FF0857">
            <w:pPr>
              <w:rPr>
                <w:rFonts w:cs="Arial"/>
                <w:color w:val="000000"/>
                <w:lang w:eastAsia="en-GB"/>
              </w:rPr>
            </w:pPr>
            <w:r>
              <w:rPr>
                <w:rFonts w:cs="Arial"/>
                <w:color w:val="000000"/>
                <w:lang w:eastAsia="en-GB"/>
              </w:rPr>
              <w:t>60-79</w:t>
            </w:r>
          </w:p>
        </w:tc>
        <w:tc>
          <w:tcPr>
            <w:tcW w:w="8204" w:type="dxa"/>
            <w:tcBorders>
              <w:top w:val="single" w:sz="4" w:space="0" w:color="auto"/>
              <w:left w:val="single" w:sz="4" w:space="0" w:color="auto"/>
              <w:bottom w:val="single" w:sz="4" w:space="0" w:color="auto"/>
              <w:right w:val="single" w:sz="4" w:space="0" w:color="auto"/>
            </w:tcBorders>
            <w:shd w:val="clear" w:color="auto" w:fill="auto"/>
            <w:vAlign w:val="center"/>
          </w:tcPr>
          <w:p w14:paraId="1BCA4C98" w14:textId="43412265" w:rsidR="007A0DB8" w:rsidRDefault="007A0DB8" w:rsidP="007A0DB8">
            <w:pPr>
              <w:rPr>
                <w:rFonts w:cs="Arial"/>
                <w:color w:val="000000"/>
                <w:lang w:eastAsia="en-GB"/>
              </w:rPr>
            </w:pPr>
            <w:r>
              <w:rPr>
                <w:rFonts w:ascii="Calibri" w:hAnsi="Calibri" w:cs="Calibri"/>
                <w:szCs w:val="22"/>
                <w:lang w:eastAsia="en-GB"/>
              </w:rPr>
              <w:t>Management of the Southwest lobster stock unit is according to reference points and informed by stock assessment,</w:t>
            </w:r>
            <w:r>
              <w:rPr>
                <w:rFonts w:cs="Arial"/>
                <w:color w:val="000000"/>
                <w:lang w:eastAsia="en-GB"/>
              </w:rPr>
              <w:t xml:space="preserve"> in turn informed by appropriate levels of data collection. </w:t>
            </w:r>
          </w:p>
          <w:p w14:paraId="3AE925D5" w14:textId="77777777" w:rsidR="007A0DB8" w:rsidRDefault="007A0DB8" w:rsidP="007A0DB8">
            <w:pPr>
              <w:rPr>
                <w:rFonts w:cs="Arial"/>
                <w:color w:val="000000"/>
                <w:lang w:eastAsia="en-GB"/>
              </w:rPr>
            </w:pPr>
            <w:r>
              <w:rPr>
                <w:rFonts w:cs="Arial"/>
                <w:color w:val="000000"/>
                <w:lang w:eastAsia="en-GB"/>
              </w:rPr>
              <w:t xml:space="preserve">Shark finning is not taking place. </w:t>
            </w:r>
          </w:p>
          <w:p w14:paraId="6CFCCB15" w14:textId="77777777" w:rsidR="007A0DB8" w:rsidRDefault="007A0DB8" w:rsidP="007A0DB8">
            <w:pPr>
              <w:rPr>
                <w:rFonts w:cs="Arial"/>
                <w:color w:val="000000"/>
                <w:lang w:eastAsia="en-GB"/>
              </w:rPr>
            </w:pPr>
            <w:r>
              <w:rPr>
                <w:rFonts w:cs="Arial"/>
                <w:color w:val="000000"/>
                <w:lang w:eastAsia="en-GB"/>
              </w:rPr>
              <w:t>The final scoring issues (e) is new to the latest version of the MSC standard MSC CRv2) and requires that there is a review of alternative measures to reduce unwanted catches of unwanted main primary species. Since lobster is a secondary commercially valuable target species in this fishery, this does not apply in this case.</w:t>
            </w:r>
          </w:p>
          <w:p w14:paraId="7F0476EE" w14:textId="77777777" w:rsidR="007A0DB8" w:rsidRDefault="007A0DB8" w:rsidP="007A0DB8">
            <w:pPr>
              <w:rPr>
                <w:rFonts w:cs="Arial"/>
                <w:color w:val="000000"/>
                <w:lang w:eastAsia="en-GB"/>
              </w:rPr>
            </w:pPr>
            <w:r>
              <w:rPr>
                <w:rFonts w:cs="Arial"/>
                <w:color w:val="000000"/>
                <w:lang w:eastAsia="en-GB"/>
              </w:rPr>
              <w:t>In the context of other, for example finfish, primary species the level of bycatch is occasional only, and well below 2% of total catches.  Review of measures to further reduce such catches is relevant, but is likely to have minimal impact of the status of these species.</w:t>
            </w:r>
          </w:p>
          <w:p w14:paraId="50A2AD23" w14:textId="33ECC4D9" w:rsidR="00AD18DE" w:rsidRPr="007A0DB8" w:rsidRDefault="0023364D" w:rsidP="004F15A4">
            <w:pPr>
              <w:rPr>
                <w:rFonts w:ascii="Calibri" w:hAnsi="Calibri" w:cs="Calibri"/>
                <w:szCs w:val="22"/>
                <w:lang w:eastAsia="en-GB"/>
              </w:rPr>
            </w:pPr>
            <w:r w:rsidRPr="00072676">
              <w:rPr>
                <w:rFonts w:ascii="Calibri" w:hAnsi="Calibri" w:cs="Calibri"/>
                <w:szCs w:val="22"/>
                <w:lang w:eastAsia="en-GB"/>
              </w:rPr>
              <w:t xml:space="preserve">There is </w:t>
            </w:r>
            <w:r w:rsidR="007A0DB8">
              <w:rPr>
                <w:rFonts w:ascii="Calibri" w:hAnsi="Calibri" w:cs="Calibri"/>
                <w:szCs w:val="22"/>
                <w:lang w:eastAsia="en-GB"/>
              </w:rPr>
              <w:t xml:space="preserve">a </w:t>
            </w:r>
            <w:r w:rsidRPr="00072676">
              <w:rPr>
                <w:rFonts w:ascii="Calibri" w:hAnsi="Calibri" w:cs="Calibri"/>
                <w:szCs w:val="22"/>
                <w:lang w:eastAsia="en-GB"/>
              </w:rPr>
              <w:t xml:space="preserve">strategy in place for </w:t>
            </w:r>
            <w:r w:rsidR="007A0DB8">
              <w:rPr>
                <w:rFonts w:ascii="Calibri" w:hAnsi="Calibri" w:cs="Calibri"/>
                <w:szCs w:val="22"/>
                <w:lang w:eastAsia="en-GB"/>
              </w:rPr>
              <w:t xml:space="preserve">management of lobster fisheries, and there are </w:t>
            </w:r>
            <w:r w:rsidRPr="00072676">
              <w:rPr>
                <w:rFonts w:ascii="Calibri" w:hAnsi="Calibri" w:cs="Calibri"/>
                <w:szCs w:val="22"/>
                <w:lang w:eastAsia="en-GB"/>
              </w:rPr>
              <w:t>measures in place where considered necessary (SG60a+;</w:t>
            </w:r>
            <w:r w:rsidR="007A0DB8">
              <w:rPr>
                <w:rFonts w:ascii="Calibri" w:hAnsi="Calibri" w:cs="Calibri"/>
                <w:szCs w:val="22"/>
                <w:lang w:eastAsia="en-GB"/>
              </w:rPr>
              <w:t xml:space="preserve"> </w:t>
            </w:r>
            <w:r w:rsidRPr="00072676">
              <w:rPr>
                <w:rFonts w:ascii="Calibri" w:hAnsi="Calibri" w:cs="Calibri"/>
                <w:szCs w:val="22"/>
                <w:lang w:eastAsia="en-GB"/>
              </w:rPr>
              <w:t>SG60b+).</w:t>
            </w:r>
          </w:p>
        </w:tc>
      </w:tr>
      <w:tr w:rsidR="00FA7D41" w:rsidRPr="005C0C94" w14:paraId="4D127621" w14:textId="77777777" w:rsidTr="000A39D4">
        <w:trPr>
          <w:trHeight w:val="540"/>
        </w:trPr>
        <w:tc>
          <w:tcPr>
            <w:tcW w:w="1036" w:type="dxa"/>
            <w:vMerge/>
            <w:tcBorders>
              <w:left w:val="single" w:sz="4" w:space="0" w:color="auto"/>
              <w:right w:val="single" w:sz="4" w:space="0" w:color="auto"/>
            </w:tcBorders>
          </w:tcPr>
          <w:p w14:paraId="1D362092" w14:textId="69537D6C" w:rsidR="00FA7D41" w:rsidRPr="00323770" w:rsidRDefault="00FA7D41" w:rsidP="002432AC">
            <w:pPr>
              <w:rPr>
                <w:rFonts w:cs="Arial"/>
                <w:color w:val="000000"/>
                <w:sz w:val="20"/>
                <w:szCs w:val="20"/>
                <w:lang w:eastAsia="en-GB"/>
              </w:rPr>
            </w:pPr>
          </w:p>
        </w:tc>
        <w:tc>
          <w:tcPr>
            <w:tcW w:w="1418" w:type="dxa"/>
            <w:vMerge/>
            <w:tcBorders>
              <w:left w:val="single" w:sz="4" w:space="0" w:color="auto"/>
              <w:bottom w:val="single" w:sz="4" w:space="0" w:color="auto"/>
              <w:right w:val="single" w:sz="4" w:space="0" w:color="auto"/>
            </w:tcBorders>
            <w:shd w:val="clear" w:color="auto" w:fill="auto"/>
            <w:vAlign w:val="center"/>
          </w:tcPr>
          <w:p w14:paraId="408C3E8E" w14:textId="77777777" w:rsidR="00FA7D41" w:rsidRPr="00323770" w:rsidRDefault="00FA7D41" w:rsidP="002432AC">
            <w:pPr>
              <w:rPr>
                <w:rFonts w:cs="Arial"/>
                <w:color w:val="000000"/>
                <w:sz w:val="20"/>
                <w:szCs w:val="20"/>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F48AC4B"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2.1.3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206A9DE"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Information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4AF5D59" w14:textId="743400F5"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N/A</w:t>
            </w:r>
          </w:p>
        </w:tc>
        <w:tc>
          <w:tcPr>
            <w:tcW w:w="8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669D05E9" w14:textId="41D55708" w:rsidR="00FA7D41" w:rsidRPr="00323770" w:rsidRDefault="000A39D4" w:rsidP="002432AC">
            <w:pPr>
              <w:rPr>
                <w:rFonts w:cs="Arial"/>
                <w:color w:val="000000"/>
                <w:lang w:eastAsia="en-GB"/>
              </w:rPr>
            </w:pPr>
            <w:r w:rsidRPr="00DA4A8C">
              <w:rPr>
                <w:rFonts w:cs="Arial"/>
                <w:color w:val="000000"/>
                <w:lang w:eastAsia="en-GB"/>
              </w:rPr>
              <w:t>≥80</w:t>
            </w:r>
          </w:p>
        </w:tc>
        <w:tc>
          <w:tcPr>
            <w:tcW w:w="8204" w:type="dxa"/>
            <w:tcBorders>
              <w:top w:val="single" w:sz="4" w:space="0" w:color="auto"/>
              <w:left w:val="single" w:sz="4" w:space="0" w:color="auto"/>
              <w:bottom w:val="single" w:sz="4" w:space="0" w:color="auto"/>
              <w:right w:val="single" w:sz="4" w:space="0" w:color="auto"/>
            </w:tcBorders>
            <w:shd w:val="clear" w:color="auto" w:fill="auto"/>
            <w:vAlign w:val="center"/>
          </w:tcPr>
          <w:p w14:paraId="30F89FAD" w14:textId="57645770" w:rsidR="00FA7D41" w:rsidRPr="00AB17C7" w:rsidRDefault="0023364D" w:rsidP="00AB17C7">
            <w:pPr>
              <w:rPr>
                <w:rFonts w:ascii="Calibri" w:hAnsi="Calibri" w:cs="Calibri"/>
                <w:szCs w:val="22"/>
                <w:lang w:eastAsia="en-GB"/>
              </w:rPr>
            </w:pPr>
            <w:r w:rsidRPr="00072676">
              <w:rPr>
                <w:rFonts w:ascii="Calibri" w:hAnsi="Calibri" w:cs="Calibri"/>
                <w:szCs w:val="22"/>
                <w:lang w:eastAsia="en-GB"/>
              </w:rPr>
              <w:t xml:space="preserve">Qualitative and some quantitative information is available through the RBS &amp; shellfish return data collection (SG80a). This </w:t>
            </w:r>
            <w:r w:rsidR="00AB17C7">
              <w:rPr>
                <w:rFonts w:ascii="Calibri" w:hAnsi="Calibri" w:cs="Calibri"/>
                <w:szCs w:val="22"/>
                <w:lang w:eastAsia="en-GB"/>
              </w:rPr>
              <w:t xml:space="preserve">is </w:t>
            </w:r>
            <w:r w:rsidRPr="00072676">
              <w:rPr>
                <w:rFonts w:ascii="Calibri" w:hAnsi="Calibri" w:cs="Calibri"/>
                <w:szCs w:val="22"/>
                <w:lang w:eastAsia="en-GB"/>
              </w:rPr>
              <w:t xml:space="preserve">sufficient to support a </w:t>
            </w:r>
            <w:r w:rsidR="00AB17C7">
              <w:rPr>
                <w:rFonts w:ascii="Calibri" w:hAnsi="Calibri" w:cs="Calibri"/>
                <w:szCs w:val="22"/>
                <w:lang w:eastAsia="en-GB"/>
              </w:rPr>
              <w:t>strategy for management of the lobster catches</w:t>
            </w:r>
            <w:r w:rsidRPr="00072676">
              <w:rPr>
                <w:rFonts w:ascii="Calibri" w:hAnsi="Calibri" w:cs="Calibri"/>
                <w:szCs w:val="22"/>
                <w:lang w:eastAsia="en-GB"/>
              </w:rPr>
              <w:t xml:space="preserve"> </w:t>
            </w:r>
            <w:r w:rsidR="00AB17C7">
              <w:rPr>
                <w:rFonts w:ascii="Calibri" w:hAnsi="Calibri" w:cs="Calibri"/>
                <w:szCs w:val="22"/>
                <w:lang w:eastAsia="en-GB"/>
              </w:rPr>
              <w:t xml:space="preserve">as a main primary species </w:t>
            </w:r>
            <w:r w:rsidR="00AB17C7" w:rsidRPr="00072676">
              <w:rPr>
                <w:rFonts w:ascii="Calibri" w:hAnsi="Calibri" w:cs="Calibri"/>
                <w:szCs w:val="22"/>
                <w:lang w:eastAsia="en-GB"/>
              </w:rPr>
              <w:t>(SG80c) and indicate any increased risk from this fishery to this species (SG80d).</w:t>
            </w:r>
            <w:r w:rsidR="00AB17C7">
              <w:rPr>
                <w:rFonts w:ascii="Calibri" w:hAnsi="Calibri" w:cs="Calibri"/>
                <w:szCs w:val="22"/>
                <w:lang w:eastAsia="en-GB"/>
              </w:rPr>
              <w:t xml:space="preserve">  Data capture with respect to capture of other minor primary species is poor, reflecting the very low and occasional levels of capture of these species.</w:t>
            </w:r>
          </w:p>
        </w:tc>
      </w:tr>
      <w:tr w:rsidR="00FA7D41" w:rsidRPr="005C0C94" w14:paraId="625992E0" w14:textId="77777777" w:rsidTr="000A39D4">
        <w:trPr>
          <w:trHeight w:val="540"/>
        </w:trPr>
        <w:tc>
          <w:tcPr>
            <w:tcW w:w="1036" w:type="dxa"/>
            <w:vMerge/>
            <w:tcBorders>
              <w:left w:val="single" w:sz="4" w:space="0" w:color="auto"/>
              <w:right w:val="single" w:sz="4" w:space="0" w:color="auto"/>
            </w:tcBorders>
          </w:tcPr>
          <w:p w14:paraId="584AB85D" w14:textId="77777777" w:rsidR="00FA7D41" w:rsidRPr="00323770" w:rsidRDefault="00FA7D41" w:rsidP="002432AC">
            <w:pPr>
              <w:rPr>
                <w:rFonts w:cs="Arial"/>
                <w:color w:val="000000"/>
                <w:sz w:val="20"/>
                <w:szCs w:val="20"/>
                <w:lang w:eastAsia="en-GB"/>
              </w:rPr>
            </w:pPr>
          </w:p>
        </w:tc>
        <w:tc>
          <w:tcPr>
            <w:tcW w:w="1418" w:type="dxa"/>
            <w:vMerge w:val="restart"/>
            <w:tcBorders>
              <w:top w:val="single" w:sz="4" w:space="0" w:color="auto"/>
              <w:left w:val="single" w:sz="4" w:space="0" w:color="auto"/>
              <w:right w:val="single" w:sz="4" w:space="0" w:color="auto"/>
            </w:tcBorders>
            <w:shd w:val="clear" w:color="auto" w:fill="auto"/>
            <w:vAlign w:val="center"/>
          </w:tcPr>
          <w:p w14:paraId="458FA299"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Secondary species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25DA71E"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2.2.1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DE0F414"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Outcome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A00765C" w14:textId="44D0C532"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Yes</w:t>
            </w:r>
          </w:p>
        </w:tc>
        <w:tc>
          <w:tcPr>
            <w:tcW w:w="8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0EC99220" w14:textId="479CC563" w:rsidR="00FA7D41" w:rsidRPr="00323770" w:rsidRDefault="000A39D4" w:rsidP="002432AC">
            <w:pPr>
              <w:rPr>
                <w:rFonts w:cs="Arial"/>
                <w:color w:val="000000"/>
                <w:lang w:eastAsia="en-GB"/>
              </w:rPr>
            </w:pPr>
            <w:r w:rsidRPr="00DA4A8C">
              <w:rPr>
                <w:rFonts w:cs="Arial"/>
                <w:color w:val="000000"/>
                <w:lang w:eastAsia="en-GB"/>
              </w:rPr>
              <w:t>≥80</w:t>
            </w:r>
          </w:p>
        </w:tc>
        <w:tc>
          <w:tcPr>
            <w:tcW w:w="8204" w:type="dxa"/>
            <w:tcBorders>
              <w:top w:val="single" w:sz="4" w:space="0" w:color="auto"/>
              <w:left w:val="single" w:sz="4" w:space="0" w:color="auto"/>
              <w:bottom w:val="single" w:sz="4" w:space="0" w:color="auto"/>
              <w:right w:val="single" w:sz="4" w:space="0" w:color="auto"/>
            </w:tcBorders>
            <w:shd w:val="clear" w:color="auto" w:fill="auto"/>
            <w:vAlign w:val="center"/>
          </w:tcPr>
          <w:p w14:paraId="41782AF2" w14:textId="1E65EF5F" w:rsidR="0052328B" w:rsidRDefault="002F2A37" w:rsidP="002F2A37">
            <w:pPr>
              <w:pStyle w:val="Tabletext"/>
              <w:rPr>
                <w:rFonts w:cs="Arial"/>
                <w:color w:val="000000"/>
                <w:sz w:val="22"/>
                <w:lang w:eastAsia="en-GB"/>
              </w:rPr>
            </w:pPr>
            <w:r w:rsidRPr="0052328B">
              <w:rPr>
                <w:rFonts w:cs="Arial"/>
                <w:color w:val="000000"/>
                <w:sz w:val="22"/>
                <w:lang w:eastAsia="en-GB"/>
              </w:rPr>
              <w:t xml:space="preserve">Project Inshore identified three non-target species – velvet crab, spider crab and lobster.  Of these only one, lobster, may be treated at a main (addressed above as a primary species), with the remainder addressed a secondary minor.  </w:t>
            </w:r>
          </w:p>
          <w:p w14:paraId="09E7E1D8" w14:textId="3A147003" w:rsidR="002F2A37" w:rsidRPr="0052328B" w:rsidRDefault="002F2A37" w:rsidP="002F2A37">
            <w:pPr>
              <w:pStyle w:val="Tabletext"/>
              <w:rPr>
                <w:rFonts w:cs="Arial"/>
                <w:color w:val="000000"/>
                <w:sz w:val="22"/>
                <w:lang w:eastAsia="en-GB"/>
              </w:rPr>
            </w:pPr>
            <w:r w:rsidRPr="0052328B">
              <w:rPr>
                <w:rFonts w:cs="Arial"/>
                <w:color w:val="000000"/>
                <w:sz w:val="22"/>
                <w:lang w:eastAsia="en-GB"/>
              </w:rPr>
              <w:t xml:space="preserve">Of note, lobster, velvet and spider crab fisheries are recognised as targeted fisheries (fished using different or modified gear, different bait, and with pots set in different areas and/or on different substrate) in which edible crab may be viewed as a bycatch species.  </w:t>
            </w:r>
          </w:p>
          <w:p w14:paraId="3013AD61" w14:textId="77777777" w:rsidR="00327CC3" w:rsidRDefault="002F2A37" w:rsidP="002F2A37">
            <w:pPr>
              <w:pStyle w:val="Tabletext"/>
              <w:rPr>
                <w:rFonts w:cs="Arial"/>
                <w:color w:val="000000"/>
                <w:sz w:val="22"/>
                <w:lang w:eastAsia="en-GB"/>
              </w:rPr>
            </w:pPr>
            <w:r w:rsidRPr="0052328B">
              <w:rPr>
                <w:rFonts w:cs="Arial"/>
                <w:color w:val="000000"/>
                <w:sz w:val="22"/>
                <w:lang w:eastAsia="en-GB"/>
              </w:rPr>
              <w:t xml:space="preserve">In addition to the above, however, anecdotal and some survey evidence suggests that minor catches of a range of other species are also made.  </w:t>
            </w:r>
          </w:p>
          <w:p w14:paraId="73C432FA" w14:textId="7DEF39C0" w:rsidR="002F2A37" w:rsidRPr="0052328B" w:rsidRDefault="002F2A37" w:rsidP="002F2A37">
            <w:pPr>
              <w:pStyle w:val="Tabletext"/>
              <w:rPr>
                <w:rFonts w:cs="Arial"/>
                <w:color w:val="000000"/>
                <w:sz w:val="22"/>
                <w:lang w:eastAsia="en-GB"/>
              </w:rPr>
            </w:pPr>
            <w:r w:rsidRPr="0052328B">
              <w:rPr>
                <w:rFonts w:cs="Arial"/>
                <w:color w:val="000000"/>
                <w:sz w:val="22"/>
                <w:lang w:eastAsia="en-GB"/>
              </w:rPr>
              <w:t>Since these pot fisheries are a live fishery, all non-retained bycatch is returned to the sea live – with a recognised high survival rate (&gt;90%).</w:t>
            </w:r>
          </w:p>
          <w:p w14:paraId="065A662F" w14:textId="0384AF48" w:rsidR="002F2A37" w:rsidRDefault="002F2A37" w:rsidP="002F2A37">
            <w:pPr>
              <w:pStyle w:val="Tabletext"/>
              <w:rPr>
                <w:rFonts w:ascii="Calibri" w:hAnsi="Calibri" w:cs="Calibri"/>
                <w:color w:val="000000"/>
                <w:sz w:val="22"/>
                <w:lang w:eastAsia="en-GB"/>
              </w:rPr>
            </w:pPr>
            <w:r w:rsidRPr="0052328B">
              <w:rPr>
                <w:rFonts w:cs="Arial"/>
                <w:color w:val="000000"/>
                <w:sz w:val="22"/>
                <w:lang w:eastAsia="en-GB"/>
              </w:rPr>
              <w:t xml:space="preserve">No </w:t>
            </w:r>
            <w:r w:rsidRPr="0052328B">
              <w:rPr>
                <w:rFonts w:cs="Arial"/>
                <w:b/>
                <w:color w:val="000000"/>
                <w:sz w:val="22"/>
                <w:lang w:eastAsia="en-GB"/>
              </w:rPr>
              <w:t>main</w:t>
            </w:r>
            <w:r w:rsidRPr="0052328B">
              <w:rPr>
                <w:rFonts w:cs="Arial"/>
                <w:color w:val="000000"/>
                <w:sz w:val="22"/>
                <w:lang w:eastAsia="en-GB"/>
              </w:rPr>
              <w:t xml:space="preserve"> </w:t>
            </w:r>
            <w:r w:rsidR="00AB17C7" w:rsidRPr="0052328B">
              <w:rPr>
                <w:rFonts w:cs="Arial"/>
                <w:color w:val="000000"/>
                <w:sz w:val="22"/>
                <w:lang w:eastAsia="en-GB"/>
              </w:rPr>
              <w:t xml:space="preserve">secondary species </w:t>
            </w:r>
            <w:r w:rsidRPr="0052328B">
              <w:rPr>
                <w:rFonts w:cs="Arial"/>
                <w:color w:val="000000"/>
                <w:sz w:val="22"/>
                <w:lang w:eastAsia="en-GB"/>
              </w:rPr>
              <w:t xml:space="preserve">have been identified for this fishery, but a range of very low volume (&lt;½%) bycatch species can be identified as </w:t>
            </w:r>
            <w:r w:rsidRPr="0052328B">
              <w:rPr>
                <w:rFonts w:cs="Arial"/>
                <w:b/>
                <w:color w:val="000000"/>
                <w:sz w:val="22"/>
                <w:lang w:eastAsia="en-GB"/>
              </w:rPr>
              <w:t>minor</w:t>
            </w:r>
            <w:r w:rsidRPr="0052328B">
              <w:rPr>
                <w:rFonts w:cs="Arial"/>
                <w:color w:val="000000"/>
                <w:sz w:val="22"/>
                <w:lang w:eastAsia="en-GB"/>
              </w:rPr>
              <w:t xml:space="preserve"> secondary species</w:t>
            </w:r>
            <w:r w:rsidR="00327CC3">
              <w:rPr>
                <w:rFonts w:cs="Arial"/>
                <w:color w:val="000000"/>
                <w:sz w:val="22"/>
                <w:lang w:eastAsia="en-GB"/>
              </w:rPr>
              <w:t xml:space="preserve">. These secondary minor species are – </w:t>
            </w:r>
            <w:r w:rsidR="00327CC3" w:rsidRPr="0052328B">
              <w:rPr>
                <w:rFonts w:cs="Arial"/>
                <w:color w:val="000000"/>
                <w:sz w:val="22"/>
                <w:lang w:eastAsia="en-GB"/>
              </w:rPr>
              <w:t>w</w:t>
            </w:r>
            <w:r w:rsidR="00327CC3" w:rsidRPr="0052328B">
              <w:rPr>
                <w:sz w:val="22"/>
              </w:rPr>
              <w:t xml:space="preserve">helk; </w:t>
            </w:r>
            <w:r w:rsidR="00327CC3" w:rsidRPr="0052328B">
              <w:rPr>
                <w:rFonts w:ascii="Calibri" w:hAnsi="Calibri" w:cs="Calibri"/>
                <w:color w:val="000000"/>
                <w:sz w:val="22"/>
                <w:lang w:eastAsia="en-GB"/>
              </w:rPr>
              <w:t xml:space="preserve">velvet crab; spider crab; crawfish; </w:t>
            </w:r>
            <w:r w:rsidR="00A52B1F">
              <w:rPr>
                <w:rFonts w:ascii="Calibri" w:hAnsi="Calibri" w:cs="Calibri"/>
                <w:color w:val="000000"/>
                <w:sz w:val="22"/>
                <w:lang w:eastAsia="en-GB"/>
              </w:rPr>
              <w:t>pollock</w:t>
            </w:r>
            <w:r w:rsidR="00327CC3" w:rsidRPr="0052328B">
              <w:rPr>
                <w:rFonts w:ascii="Calibri" w:hAnsi="Calibri" w:cs="Calibri"/>
                <w:color w:val="000000"/>
                <w:sz w:val="22"/>
                <w:lang w:eastAsia="en-GB"/>
              </w:rPr>
              <w:t xml:space="preserve">; wrasse; </w:t>
            </w:r>
            <w:r w:rsidR="00327CC3" w:rsidRPr="0052328B">
              <w:rPr>
                <w:sz w:val="22"/>
              </w:rPr>
              <w:t xml:space="preserve">starfish; </w:t>
            </w:r>
            <w:r w:rsidR="00327CC3" w:rsidRPr="0052328B">
              <w:rPr>
                <w:rFonts w:ascii="Calibri" w:hAnsi="Calibri" w:cs="Calibri"/>
                <w:color w:val="000000"/>
                <w:sz w:val="22"/>
                <w:lang w:eastAsia="en-GB"/>
              </w:rPr>
              <w:t xml:space="preserve">green crab; </w:t>
            </w:r>
            <w:r w:rsidR="00327CC3" w:rsidRPr="0052328B">
              <w:rPr>
                <w:sz w:val="22"/>
              </w:rPr>
              <w:t xml:space="preserve">conger; </w:t>
            </w:r>
            <w:r w:rsidR="00327CC3" w:rsidRPr="0052328B">
              <w:rPr>
                <w:rFonts w:ascii="Calibri" w:hAnsi="Calibri" w:cs="Calibri"/>
                <w:color w:val="000000"/>
                <w:sz w:val="22"/>
                <w:lang w:eastAsia="en-GB"/>
              </w:rPr>
              <w:t>blonde ray; small-eyed ray.</w:t>
            </w:r>
            <w:r w:rsidR="00327CC3">
              <w:rPr>
                <w:rFonts w:ascii="Calibri" w:hAnsi="Calibri" w:cs="Calibri"/>
                <w:color w:val="000000"/>
                <w:sz w:val="22"/>
                <w:lang w:eastAsia="en-GB"/>
              </w:rPr>
              <w:t xml:space="preserve">  On</w:t>
            </w:r>
            <w:r w:rsidRPr="0052328B">
              <w:rPr>
                <w:rFonts w:cs="Arial"/>
                <w:color w:val="000000"/>
                <w:sz w:val="22"/>
                <w:lang w:eastAsia="en-GB"/>
              </w:rPr>
              <w:t xml:space="preserve">ly one of these, whelk (also the subject of a high volume targeted fishery that uses quite different gear), may involve a slightly higher volume (at &lt;1%) (see </w:t>
            </w:r>
            <w:r w:rsidRPr="0052328B">
              <w:rPr>
                <w:rFonts w:cs="Arial"/>
                <w:b/>
                <w:color w:val="000000"/>
                <w:sz w:val="22"/>
                <w:lang w:eastAsia="en-GB"/>
              </w:rPr>
              <w:t>Table 3</w:t>
            </w:r>
            <w:r w:rsidRPr="0052328B">
              <w:rPr>
                <w:rFonts w:cs="Arial"/>
                <w:color w:val="000000"/>
                <w:sz w:val="22"/>
                <w:lang w:eastAsia="en-GB"/>
              </w:rPr>
              <w:t xml:space="preserve"> in the main text)</w:t>
            </w:r>
            <w:r w:rsidR="00764E35">
              <w:rPr>
                <w:rFonts w:cs="Arial"/>
                <w:color w:val="000000"/>
                <w:sz w:val="22"/>
                <w:lang w:eastAsia="en-GB"/>
              </w:rPr>
              <w:t xml:space="preserve">.  </w:t>
            </w:r>
          </w:p>
          <w:p w14:paraId="65F77BE9" w14:textId="60D2AF97" w:rsidR="00FA7D41" w:rsidRPr="0052328B" w:rsidRDefault="00764E35" w:rsidP="00764E35">
            <w:pPr>
              <w:pStyle w:val="Tabletext"/>
              <w:rPr>
                <w:rFonts w:ascii="Calibri" w:hAnsi="Calibri" w:cs="Calibri"/>
                <w:color w:val="000000"/>
                <w:sz w:val="22"/>
                <w:lang w:eastAsia="en-GB"/>
              </w:rPr>
            </w:pPr>
            <w:r>
              <w:rPr>
                <w:rFonts w:ascii="Calibri" w:hAnsi="Calibri" w:cs="Calibri"/>
                <w:color w:val="000000"/>
                <w:sz w:val="22"/>
                <w:lang w:eastAsia="en-GB"/>
              </w:rPr>
              <w:t xml:space="preserve">Given their </w:t>
            </w:r>
            <w:r w:rsidR="0052328B">
              <w:rPr>
                <w:rFonts w:ascii="Calibri" w:hAnsi="Calibri" w:cs="Calibri"/>
                <w:color w:val="000000"/>
                <w:sz w:val="22"/>
                <w:lang w:eastAsia="en-GB"/>
              </w:rPr>
              <w:t>classifi</w:t>
            </w:r>
            <w:r>
              <w:rPr>
                <w:rFonts w:ascii="Calibri" w:hAnsi="Calibri" w:cs="Calibri"/>
                <w:color w:val="000000"/>
                <w:sz w:val="22"/>
                <w:lang w:eastAsia="en-GB"/>
              </w:rPr>
              <w:t xml:space="preserve">cation </w:t>
            </w:r>
            <w:r w:rsidR="0052328B">
              <w:rPr>
                <w:rFonts w:ascii="Calibri" w:hAnsi="Calibri" w:cs="Calibri"/>
                <w:color w:val="000000"/>
                <w:sz w:val="22"/>
                <w:lang w:eastAsia="en-GB"/>
              </w:rPr>
              <w:t>as minor secondary species, they are scored at or above SG80.</w:t>
            </w:r>
          </w:p>
        </w:tc>
      </w:tr>
      <w:tr w:rsidR="00FA7D41" w:rsidRPr="005C0C94" w14:paraId="4BE522B3" w14:textId="77777777" w:rsidTr="000A39D4">
        <w:trPr>
          <w:trHeight w:val="540"/>
        </w:trPr>
        <w:tc>
          <w:tcPr>
            <w:tcW w:w="1036" w:type="dxa"/>
            <w:vMerge/>
            <w:tcBorders>
              <w:left w:val="single" w:sz="4" w:space="0" w:color="auto"/>
              <w:right w:val="single" w:sz="4" w:space="0" w:color="auto"/>
            </w:tcBorders>
          </w:tcPr>
          <w:p w14:paraId="21649789" w14:textId="14637712" w:rsidR="00FA7D41" w:rsidRPr="00323770" w:rsidRDefault="00FA7D41" w:rsidP="002432AC">
            <w:pPr>
              <w:rPr>
                <w:rFonts w:cs="Arial"/>
                <w:color w:val="000000"/>
                <w:sz w:val="20"/>
                <w:szCs w:val="20"/>
                <w:lang w:eastAsia="en-GB"/>
              </w:rPr>
            </w:pPr>
          </w:p>
        </w:tc>
        <w:tc>
          <w:tcPr>
            <w:tcW w:w="1418" w:type="dxa"/>
            <w:vMerge/>
            <w:tcBorders>
              <w:left w:val="single" w:sz="4" w:space="0" w:color="auto"/>
              <w:right w:val="single" w:sz="4" w:space="0" w:color="auto"/>
            </w:tcBorders>
            <w:shd w:val="clear" w:color="auto" w:fill="auto"/>
            <w:vAlign w:val="center"/>
          </w:tcPr>
          <w:p w14:paraId="2B16156C" w14:textId="77777777" w:rsidR="00FA7D41" w:rsidRPr="00323770" w:rsidRDefault="00FA7D41" w:rsidP="002432AC">
            <w:pPr>
              <w:rPr>
                <w:rFonts w:cs="Arial"/>
                <w:color w:val="000000"/>
                <w:sz w:val="20"/>
                <w:szCs w:val="20"/>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940A1FC"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2.2.2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F92FA8B"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Management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4A2709A" w14:textId="7E8F7915"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N/A</w:t>
            </w:r>
          </w:p>
        </w:tc>
        <w:tc>
          <w:tcPr>
            <w:tcW w:w="85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36C69013" w14:textId="644D3171" w:rsidR="00FA7D41" w:rsidRPr="00323770" w:rsidRDefault="000A39D4" w:rsidP="002432AC">
            <w:pPr>
              <w:rPr>
                <w:rFonts w:cs="Arial"/>
                <w:color w:val="000000"/>
                <w:lang w:eastAsia="en-GB"/>
              </w:rPr>
            </w:pPr>
            <w:r>
              <w:rPr>
                <w:rFonts w:cs="Arial"/>
                <w:color w:val="000000"/>
                <w:lang w:eastAsia="en-GB"/>
              </w:rPr>
              <w:t>60-79</w:t>
            </w:r>
          </w:p>
        </w:tc>
        <w:tc>
          <w:tcPr>
            <w:tcW w:w="8204" w:type="dxa"/>
            <w:tcBorders>
              <w:top w:val="single" w:sz="4" w:space="0" w:color="auto"/>
              <w:left w:val="single" w:sz="4" w:space="0" w:color="auto"/>
              <w:bottom w:val="single" w:sz="4" w:space="0" w:color="auto"/>
              <w:right w:val="single" w:sz="4" w:space="0" w:color="auto"/>
            </w:tcBorders>
            <w:shd w:val="clear" w:color="auto" w:fill="auto"/>
            <w:vAlign w:val="center"/>
          </w:tcPr>
          <w:p w14:paraId="77905091" w14:textId="634725C8" w:rsidR="00FB53E3" w:rsidRDefault="00FB53E3" w:rsidP="00E77325">
            <w:pPr>
              <w:rPr>
                <w:rFonts w:ascii="Calibri" w:hAnsi="Calibri" w:cs="Calibri"/>
                <w:color w:val="000000"/>
                <w:szCs w:val="22"/>
                <w:lang w:eastAsia="en-GB"/>
              </w:rPr>
            </w:pPr>
            <w:r>
              <w:rPr>
                <w:rFonts w:ascii="Calibri" w:hAnsi="Calibri" w:cs="Calibri"/>
                <w:color w:val="000000"/>
                <w:szCs w:val="22"/>
                <w:lang w:eastAsia="en-GB"/>
              </w:rPr>
              <w:t>Whelk, velvet and spider crab fisheries and harvests are subject to periodic monitoring, but not actively managed beyond establishment of minimum sizes.</w:t>
            </w:r>
          </w:p>
          <w:p w14:paraId="5E7115D6" w14:textId="36A1FF49" w:rsidR="00FB53E3" w:rsidRDefault="00FB53E3" w:rsidP="00E77325">
            <w:pPr>
              <w:rPr>
                <w:rFonts w:ascii="Calibri" w:hAnsi="Calibri" w:cs="Calibri"/>
                <w:color w:val="000000"/>
                <w:szCs w:val="22"/>
                <w:lang w:eastAsia="en-GB"/>
              </w:rPr>
            </w:pPr>
            <w:r>
              <w:rPr>
                <w:rFonts w:ascii="Calibri" w:hAnsi="Calibri" w:cs="Calibri"/>
                <w:color w:val="000000"/>
                <w:szCs w:val="22"/>
                <w:lang w:eastAsia="en-GB"/>
              </w:rPr>
              <w:lastRenderedPageBreak/>
              <w:t xml:space="preserve">Crawfish and </w:t>
            </w:r>
            <w:r w:rsidR="00A52B1F">
              <w:rPr>
                <w:rFonts w:ascii="Calibri" w:hAnsi="Calibri" w:cs="Calibri"/>
                <w:color w:val="000000"/>
                <w:szCs w:val="22"/>
                <w:lang w:eastAsia="en-GB"/>
              </w:rPr>
              <w:t>pollock</w:t>
            </w:r>
            <w:r>
              <w:rPr>
                <w:rFonts w:ascii="Calibri" w:hAnsi="Calibri" w:cs="Calibri"/>
                <w:color w:val="000000"/>
                <w:szCs w:val="22"/>
                <w:lang w:eastAsia="en-GB"/>
              </w:rPr>
              <w:t xml:space="preserve"> stocks are considered as data-poor and vulnerable to exploitation.</w:t>
            </w:r>
          </w:p>
          <w:p w14:paraId="4B3CA7F1" w14:textId="77777777" w:rsidR="00E97F93" w:rsidRDefault="00FB53E3" w:rsidP="00E77325">
            <w:pPr>
              <w:rPr>
                <w:rFonts w:ascii="Calibri" w:hAnsi="Calibri" w:cs="Calibri"/>
                <w:color w:val="000000"/>
                <w:szCs w:val="22"/>
                <w:lang w:eastAsia="en-GB"/>
              </w:rPr>
            </w:pPr>
            <w:r>
              <w:rPr>
                <w:rFonts w:ascii="Calibri" w:hAnsi="Calibri" w:cs="Calibri"/>
                <w:color w:val="000000"/>
                <w:szCs w:val="22"/>
                <w:lang w:eastAsia="en-GB"/>
              </w:rPr>
              <w:t xml:space="preserve">Starfish, green crab and conger populations are not considered at risk, and when caught as bycatch </w:t>
            </w:r>
            <w:r w:rsidR="00E97F93">
              <w:rPr>
                <w:rFonts w:ascii="Calibri" w:hAnsi="Calibri" w:cs="Calibri"/>
                <w:color w:val="000000"/>
                <w:szCs w:val="22"/>
                <w:lang w:eastAsia="en-GB"/>
              </w:rPr>
              <w:t>specimens are normally returned to the sea live.</w:t>
            </w:r>
          </w:p>
          <w:p w14:paraId="78F339FA" w14:textId="77777777" w:rsidR="00E97F93" w:rsidRDefault="00E97F93" w:rsidP="00E77325">
            <w:pPr>
              <w:rPr>
                <w:rFonts w:ascii="Calibri" w:hAnsi="Calibri" w:cs="Calibri"/>
                <w:color w:val="000000"/>
                <w:szCs w:val="22"/>
                <w:lang w:eastAsia="en-GB"/>
              </w:rPr>
            </w:pPr>
            <w:r>
              <w:rPr>
                <w:rFonts w:ascii="Calibri" w:hAnsi="Calibri" w:cs="Calibri"/>
                <w:color w:val="000000"/>
                <w:szCs w:val="22"/>
                <w:lang w:eastAsia="en-GB"/>
              </w:rPr>
              <w:t>Ray populations are considered data-poor and vulnerable to over-exploitation. Caught as bycatch to this fishery, specimens are very small and returned to the sea alive.</w:t>
            </w:r>
          </w:p>
          <w:p w14:paraId="7A91F15B" w14:textId="521DE229" w:rsidR="0023364D" w:rsidRPr="00E77325" w:rsidRDefault="00E97F93" w:rsidP="00E77325">
            <w:pPr>
              <w:rPr>
                <w:rFonts w:cs="Arial"/>
                <w:color w:val="000000"/>
                <w:lang w:eastAsia="en-GB"/>
              </w:rPr>
            </w:pPr>
            <w:r>
              <w:rPr>
                <w:rFonts w:cs="Arial"/>
                <w:color w:val="000000"/>
                <w:lang w:eastAsia="en-GB"/>
              </w:rPr>
              <w:t>None of the above is assessed as warranting a score below SG80.</w:t>
            </w:r>
          </w:p>
        </w:tc>
      </w:tr>
      <w:tr w:rsidR="00FA7D41" w:rsidRPr="005C0C94" w14:paraId="51435E5E" w14:textId="77777777" w:rsidTr="000A39D4">
        <w:trPr>
          <w:trHeight w:val="540"/>
        </w:trPr>
        <w:tc>
          <w:tcPr>
            <w:tcW w:w="1036" w:type="dxa"/>
            <w:vMerge/>
            <w:tcBorders>
              <w:left w:val="single" w:sz="4" w:space="0" w:color="auto"/>
              <w:right w:val="single" w:sz="4" w:space="0" w:color="auto"/>
            </w:tcBorders>
          </w:tcPr>
          <w:p w14:paraId="30710392" w14:textId="26041A7E" w:rsidR="00FA7D41" w:rsidRPr="00323770" w:rsidRDefault="00FA7D41" w:rsidP="002432AC">
            <w:pPr>
              <w:rPr>
                <w:rFonts w:cs="Arial"/>
                <w:color w:val="000000"/>
                <w:sz w:val="20"/>
                <w:szCs w:val="20"/>
                <w:lang w:eastAsia="en-GB"/>
              </w:rPr>
            </w:pPr>
          </w:p>
        </w:tc>
        <w:tc>
          <w:tcPr>
            <w:tcW w:w="1418" w:type="dxa"/>
            <w:vMerge/>
            <w:tcBorders>
              <w:left w:val="single" w:sz="4" w:space="0" w:color="auto"/>
              <w:bottom w:val="single" w:sz="4" w:space="0" w:color="auto"/>
              <w:right w:val="single" w:sz="4" w:space="0" w:color="auto"/>
            </w:tcBorders>
            <w:shd w:val="clear" w:color="auto" w:fill="auto"/>
            <w:vAlign w:val="center"/>
          </w:tcPr>
          <w:p w14:paraId="7AA2CA02" w14:textId="77777777" w:rsidR="00FA7D41" w:rsidRPr="00323770" w:rsidRDefault="00FA7D41" w:rsidP="002432AC">
            <w:pPr>
              <w:rPr>
                <w:rFonts w:cs="Arial"/>
                <w:color w:val="000000"/>
                <w:sz w:val="20"/>
                <w:szCs w:val="20"/>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22CA3FD"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2.2.3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59C0518"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Information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D7C1794" w14:textId="61251E34"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N/A</w:t>
            </w:r>
          </w:p>
        </w:tc>
        <w:tc>
          <w:tcPr>
            <w:tcW w:w="85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3CA14289" w14:textId="640DFF42" w:rsidR="00FA7D41" w:rsidRPr="00323770" w:rsidRDefault="000A39D4" w:rsidP="002432AC">
            <w:pPr>
              <w:rPr>
                <w:rFonts w:cs="Arial"/>
                <w:color w:val="000000"/>
                <w:lang w:eastAsia="en-GB"/>
              </w:rPr>
            </w:pPr>
            <w:r>
              <w:rPr>
                <w:rFonts w:cs="Arial"/>
                <w:color w:val="000000"/>
                <w:lang w:eastAsia="en-GB"/>
              </w:rPr>
              <w:t>60-79</w:t>
            </w:r>
          </w:p>
        </w:tc>
        <w:tc>
          <w:tcPr>
            <w:tcW w:w="8204" w:type="dxa"/>
            <w:tcBorders>
              <w:top w:val="single" w:sz="4" w:space="0" w:color="auto"/>
              <w:left w:val="single" w:sz="4" w:space="0" w:color="auto"/>
              <w:bottom w:val="single" w:sz="4" w:space="0" w:color="auto"/>
              <w:right w:val="single" w:sz="4" w:space="0" w:color="auto"/>
            </w:tcBorders>
            <w:shd w:val="clear" w:color="auto" w:fill="auto"/>
            <w:vAlign w:val="center"/>
          </w:tcPr>
          <w:p w14:paraId="56B9472A" w14:textId="77777777" w:rsidR="00E97F93" w:rsidRDefault="00E97F93" w:rsidP="002432AC">
            <w:pPr>
              <w:rPr>
                <w:rFonts w:cs="Arial"/>
                <w:color w:val="000000"/>
                <w:lang w:eastAsia="en-GB"/>
              </w:rPr>
            </w:pPr>
            <w:r>
              <w:rPr>
                <w:rFonts w:cs="Arial"/>
                <w:color w:val="000000"/>
                <w:lang w:eastAsia="en-GB"/>
              </w:rPr>
              <w:t xml:space="preserve">Catches of commercially valuable and above minimum size specimens of crustaceans are typically recorded in shellfish returns, but for the rest data availability is poor.  </w:t>
            </w:r>
          </w:p>
          <w:p w14:paraId="11825D56" w14:textId="1B74831C" w:rsidR="00FA7D41" w:rsidRPr="005C0C94" w:rsidRDefault="00E97F93" w:rsidP="002432AC">
            <w:pPr>
              <w:rPr>
                <w:rFonts w:cs="Arial"/>
                <w:color w:val="000000"/>
                <w:lang w:eastAsia="en-GB"/>
              </w:rPr>
            </w:pPr>
            <w:r>
              <w:rPr>
                <w:rFonts w:cs="Arial"/>
                <w:color w:val="000000"/>
                <w:lang w:eastAsia="en-GB"/>
              </w:rPr>
              <w:t xml:space="preserve">Periodic independent assessment of catches is made as part of IFCA monitoring and research programmes, but this does not form part of a coherent and coordinated monitoring of bycatch. </w:t>
            </w:r>
          </w:p>
        </w:tc>
      </w:tr>
      <w:tr w:rsidR="00FA7D41" w:rsidRPr="005C0C94" w14:paraId="3A9D0EC8" w14:textId="77777777" w:rsidTr="000A39D4">
        <w:trPr>
          <w:trHeight w:val="540"/>
        </w:trPr>
        <w:tc>
          <w:tcPr>
            <w:tcW w:w="1036" w:type="dxa"/>
            <w:vMerge/>
            <w:tcBorders>
              <w:left w:val="single" w:sz="4" w:space="0" w:color="auto"/>
              <w:right w:val="single" w:sz="4" w:space="0" w:color="auto"/>
            </w:tcBorders>
          </w:tcPr>
          <w:p w14:paraId="208829D8" w14:textId="1CEC04EE" w:rsidR="00FA7D41" w:rsidRPr="00323770" w:rsidRDefault="00FA7D41" w:rsidP="002432AC">
            <w:pPr>
              <w:rPr>
                <w:rFonts w:cs="Arial"/>
                <w:color w:val="000000"/>
                <w:sz w:val="20"/>
                <w:szCs w:val="20"/>
                <w:lang w:eastAsia="en-GB"/>
              </w:rPr>
            </w:pPr>
          </w:p>
        </w:tc>
        <w:tc>
          <w:tcPr>
            <w:tcW w:w="1418" w:type="dxa"/>
            <w:vMerge w:val="restart"/>
            <w:tcBorders>
              <w:top w:val="single" w:sz="4" w:space="0" w:color="auto"/>
              <w:left w:val="single" w:sz="4" w:space="0" w:color="auto"/>
              <w:right w:val="single" w:sz="4" w:space="0" w:color="auto"/>
            </w:tcBorders>
            <w:shd w:val="clear" w:color="auto" w:fill="auto"/>
            <w:vAlign w:val="center"/>
          </w:tcPr>
          <w:p w14:paraId="22BA1A50"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ETP species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890368B"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2.3.1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F895747"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Outcome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2E5FE08" w14:textId="1829FAFD"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No</w:t>
            </w:r>
          </w:p>
        </w:tc>
        <w:tc>
          <w:tcPr>
            <w:tcW w:w="85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0C4F5E70" w14:textId="6EFA596B" w:rsidR="00FA7D41" w:rsidRPr="00323770" w:rsidRDefault="000A39D4" w:rsidP="002432AC">
            <w:pPr>
              <w:rPr>
                <w:rFonts w:cs="Arial"/>
                <w:color w:val="000000"/>
                <w:lang w:eastAsia="en-GB"/>
              </w:rPr>
            </w:pPr>
            <w:r>
              <w:rPr>
                <w:rFonts w:cs="Arial"/>
                <w:color w:val="000000"/>
                <w:lang w:eastAsia="en-GB"/>
              </w:rPr>
              <w:t>60-79</w:t>
            </w:r>
          </w:p>
        </w:tc>
        <w:tc>
          <w:tcPr>
            <w:tcW w:w="8204" w:type="dxa"/>
            <w:tcBorders>
              <w:top w:val="single" w:sz="4" w:space="0" w:color="auto"/>
              <w:left w:val="single" w:sz="4" w:space="0" w:color="auto"/>
              <w:bottom w:val="single" w:sz="4" w:space="0" w:color="auto"/>
              <w:right w:val="single" w:sz="4" w:space="0" w:color="auto"/>
            </w:tcBorders>
            <w:shd w:val="clear" w:color="auto" w:fill="auto"/>
            <w:vAlign w:val="center"/>
          </w:tcPr>
          <w:p w14:paraId="4CD89836" w14:textId="46284EAF" w:rsidR="00B12E6D" w:rsidRDefault="00B12E6D" w:rsidP="0054152A">
            <w:pPr>
              <w:rPr>
                <w:rFonts w:cs="Arial"/>
                <w:color w:val="000000"/>
                <w:lang w:eastAsia="en-GB"/>
              </w:rPr>
            </w:pPr>
            <w:r>
              <w:rPr>
                <w:rFonts w:cs="Arial"/>
                <w:color w:val="000000"/>
                <w:lang w:eastAsia="en-GB"/>
              </w:rPr>
              <w:t>No ETP species associated with this fishery were identified in the Project Inshore p</w:t>
            </w:r>
            <w:r w:rsidR="001C43E3">
              <w:rPr>
                <w:rFonts w:cs="Arial"/>
                <w:color w:val="000000"/>
                <w:lang w:eastAsia="en-GB"/>
              </w:rPr>
              <w:t>r</w:t>
            </w:r>
            <w:r>
              <w:rPr>
                <w:rFonts w:cs="Arial"/>
                <w:color w:val="000000"/>
                <w:lang w:eastAsia="en-GB"/>
              </w:rPr>
              <w:t>e-assessment – and this is supported by available survey data.  It is also the case that all catches that are not retained are returned live to the sea.</w:t>
            </w:r>
          </w:p>
          <w:p w14:paraId="5BE6A6E2" w14:textId="4DFDC8B1" w:rsidR="00FA7D41" w:rsidRPr="005C0C94" w:rsidRDefault="00CF65C7" w:rsidP="0054152A">
            <w:pPr>
              <w:rPr>
                <w:rFonts w:cs="Arial"/>
                <w:color w:val="000000"/>
                <w:lang w:eastAsia="en-GB"/>
              </w:rPr>
            </w:pPr>
            <w:r>
              <w:rPr>
                <w:rFonts w:cs="Arial"/>
                <w:color w:val="000000"/>
                <w:lang w:eastAsia="en-GB"/>
              </w:rPr>
              <w:t xml:space="preserve">Nonetheless, data capture with respect to incidental catches and catches of organisms of little to no commercial value is poor to non-existent and hence a proposed scoring at &lt;SG80.    </w:t>
            </w:r>
          </w:p>
        </w:tc>
      </w:tr>
      <w:tr w:rsidR="00FA7D41" w:rsidRPr="005C0C94" w14:paraId="4269C522" w14:textId="77777777" w:rsidTr="000A39D4">
        <w:trPr>
          <w:trHeight w:val="540"/>
        </w:trPr>
        <w:tc>
          <w:tcPr>
            <w:tcW w:w="1036" w:type="dxa"/>
            <w:vMerge/>
            <w:tcBorders>
              <w:left w:val="single" w:sz="4" w:space="0" w:color="auto"/>
              <w:right w:val="single" w:sz="4" w:space="0" w:color="auto"/>
            </w:tcBorders>
          </w:tcPr>
          <w:p w14:paraId="364CF0F7" w14:textId="2C5436CC" w:rsidR="00FA7D41" w:rsidRPr="00323770" w:rsidRDefault="00FA7D41" w:rsidP="002432AC">
            <w:pPr>
              <w:rPr>
                <w:rFonts w:cs="Arial"/>
                <w:color w:val="000000"/>
                <w:sz w:val="20"/>
                <w:szCs w:val="20"/>
                <w:lang w:eastAsia="en-GB"/>
              </w:rPr>
            </w:pPr>
          </w:p>
        </w:tc>
        <w:tc>
          <w:tcPr>
            <w:tcW w:w="1418" w:type="dxa"/>
            <w:vMerge/>
            <w:tcBorders>
              <w:left w:val="single" w:sz="4" w:space="0" w:color="auto"/>
              <w:right w:val="single" w:sz="4" w:space="0" w:color="auto"/>
            </w:tcBorders>
            <w:shd w:val="clear" w:color="auto" w:fill="auto"/>
            <w:vAlign w:val="center"/>
          </w:tcPr>
          <w:p w14:paraId="40C4F332" w14:textId="77777777" w:rsidR="00FA7D41" w:rsidRPr="00323770" w:rsidRDefault="00FA7D41" w:rsidP="002432AC">
            <w:pPr>
              <w:rPr>
                <w:rFonts w:cs="Arial"/>
                <w:color w:val="000000"/>
                <w:sz w:val="20"/>
                <w:szCs w:val="20"/>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EB2993B"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2.3.2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4AD64FF"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Management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B084815" w14:textId="1D8E7E00"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N/A</w:t>
            </w:r>
          </w:p>
        </w:tc>
        <w:tc>
          <w:tcPr>
            <w:tcW w:w="85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57C1FF01" w14:textId="15455456" w:rsidR="00FA7D41" w:rsidRPr="00323770" w:rsidRDefault="000A39D4" w:rsidP="002432AC">
            <w:pPr>
              <w:rPr>
                <w:rFonts w:cs="Arial"/>
                <w:color w:val="000000"/>
                <w:lang w:eastAsia="en-GB"/>
              </w:rPr>
            </w:pPr>
            <w:r>
              <w:rPr>
                <w:rFonts w:cs="Arial"/>
                <w:color w:val="000000"/>
                <w:lang w:eastAsia="en-GB"/>
              </w:rPr>
              <w:t>60-79</w:t>
            </w:r>
          </w:p>
        </w:tc>
        <w:tc>
          <w:tcPr>
            <w:tcW w:w="8204" w:type="dxa"/>
            <w:tcBorders>
              <w:top w:val="single" w:sz="4" w:space="0" w:color="auto"/>
              <w:left w:val="single" w:sz="4" w:space="0" w:color="auto"/>
              <w:bottom w:val="single" w:sz="4" w:space="0" w:color="auto"/>
              <w:right w:val="single" w:sz="4" w:space="0" w:color="auto"/>
            </w:tcBorders>
            <w:shd w:val="clear" w:color="auto" w:fill="auto"/>
            <w:vAlign w:val="center"/>
          </w:tcPr>
          <w:p w14:paraId="6F03ECAC" w14:textId="77777777" w:rsidR="00B12E6D" w:rsidRDefault="0054152A" w:rsidP="0054152A">
            <w:pPr>
              <w:rPr>
                <w:rFonts w:cs="Arial"/>
                <w:color w:val="000000"/>
                <w:lang w:eastAsia="en-GB"/>
              </w:rPr>
            </w:pPr>
            <w:r>
              <w:rPr>
                <w:rFonts w:cs="Arial"/>
                <w:color w:val="000000"/>
                <w:lang w:eastAsia="en-GB"/>
              </w:rPr>
              <w:t xml:space="preserve">Although the Management Strategy PIs across Principle 2 typically require a ‘Partial strategy’ at the SG80 level. For the ETP management PI (2.3.2) there is a requirement at the SG80 level for a ‘strategy’. In other words, the management threshold is higher for ETP than for other Principle 2 components. </w:t>
            </w:r>
          </w:p>
          <w:p w14:paraId="4860BE1A" w14:textId="459BC4D4" w:rsidR="00FA7D41" w:rsidRPr="005C0C94" w:rsidRDefault="00CF65C7" w:rsidP="00710249">
            <w:pPr>
              <w:rPr>
                <w:rFonts w:cs="Arial"/>
                <w:color w:val="000000"/>
                <w:lang w:eastAsia="en-GB"/>
              </w:rPr>
            </w:pPr>
            <w:r>
              <w:rPr>
                <w:rFonts w:cs="Arial"/>
                <w:color w:val="000000"/>
                <w:lang w:eastAsia="en-GB"/>
              </w:rPr>
              <w:t xml:space="preserve">Whilst anecdotal evidence suggests that interaction with ETP species are minimal, it is not clear at present what the level of potting interaction with these species is, and no management strategy to manage such impact is in place.  </w:t>
            </w:r>
          </w:p>
        </w:tc>
      </w:tr>
      <w:tr w:rsidR="00FA7D41" w:rsidRPr="005C0C94" w14:paraId="64595089" w14:textId="77777777" w:rsidTr="000A39D4">
        <w:trPr>
          <w:trHeight w:val="540"/>
        </w:trPr>
        <w:tc>
          <w:tcPr>
            <w:tcW w:w="1036" w:type="dxa"/>
            <w:vMerge/>
            <w:tcBorders>
              <w:left w:val="single" w:sz="4" w:space="0" w:color="auto"/>
              <w:right w:val="single" w:sz="4" w:space="0" w:color="auto"/>
            </w:tcBorders>
          </w:tcPr>
          <w:p w14:paraId="6EBC9373" w14:textId="2AFC4A67" w:rsidR="00FA7D41" w:rsidRPr="00323770" w:rsidRDefault="00FA7D41" w:rsidP="002432AC">
            <w:pPr>
              <w:rPr>
                <w:rFonts w:cs="Arial"/>
                <w:color w:val="000000"/>
                <w:sz w:val="20"/>
                <w:szCs w:val="20"/>
                <w:lang w:eastAsia="en-GB"/>
              </w:rPr>
            </w:pPr>
          </w:p>
        </w:tc>
        <w:tc>
          <w:tcPr>
            <w:tcW w:w="1418" w:type="dxa"/>
            <w:vMerge/>
            <w:tcBorders>
              <w:left w:val="single" w:sz="4" w:space="0" w:color="auto"/>
              <w:bottom w:val="single" w:sz="4" w:space="0" w:color="auto"/>
              <w:right w:val="single" w:sz="4" w:space="0" w:color="auto"/>
            </w:tcBorders>
            <w:shd w:val="clear" w:color="auto" w:fill="auto"/>
            <w:vAlign w:val="center"/>
          </w:tcPr>
          <w:p w14:paraId="53718468" w14:textId="77777777" w:rsidR="00FA7D41" w:rsidRPr="00323770" w:rsidRDefault="00FA7D41" w:rsidP="002432AC">
            <w:pPr>
              <w:rPr>
                <w:rFonts w:cs="Arial"/>
                <w:color w:val="000000"/>
                <w:sz w:val="20"/>
                <w:szCs w:val="20"/>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4F17DB2"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2.3.3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F6FEF6D"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Information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44119AB" w14:textId="7E84816A"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N/A</w:t>
            </w:r>
          </w:p>
        </w:tc>
        <w:tc>
          <w:tcPr>
            <w:tcW w:w="85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50826C58" w14:textId="1FC12177" w:rsidR="00FA7D41" w:rsidRPr="00323770" w:rsidRDefault="000A39D4" w:rsidP="002432AC">
            <w:pPr>
              <w:rPr>
                <w:rFonts w:cs="Arial"/>
                <w:color w:val="000000"/>
                <w:lang w:eastAsia="en-GB"/>
              </w:rPr>
            </w:pPr>
            <w:r>
              <w:rPr>
                <w:rFonts w:cs="Arial"/>
                <w:color w:val="000000"/>
                <w:lang w:eastAsia="en-GB"/>
              </w:rPr>
              <w:t>60-79</w:t>
            </w:r>
          </w:p>
        </w:tc>
        <w:tc>
          <w:tcPr>
            <w:tcW w:w="8204" w:type="dxa"/>
            <w:tcBorders>
              <w:top w:val="single" w:sz="4" w:space="0" w:color="auto"/>
              <w:left w:val="single" w:sz="4" w:space="0" w:color="auto"/>
              <w:bottom w:val="single" w:sz="4" w:space="0" w:color="auto"/>
              <w:right w:val="single" w:sz="4" w:space="0" w:color="auto"/>
            </w:tcBorders>
            <w:shd w:val="clear" w:color="auto" w:fill="auto"/>
            <w:vAlign w:val="center"/>
          </w:tcPr>
          <w:p w14:paraId="36883205" w14:textId="77777777" w:rsidR="00A52B1F" w:rsidRDefault="00A52B1F" w:rsidP="00A52B1F">
            <w:pPr>
              <w:rPr>
                <w:rFonts w:cs="Arial"/>
                <w:color w:val="000000"/>
                <w:lang w:eastAsia="en-GB"/>
              </w:rPr>
            </w:pPr>
            <w:r>
              <w:rPr>
                <w:rFonts w:cs="Arial"/>
                <w:color w:val="000000"/>
                <w:lang w:eastAsia="en-GB"/>
              </w:rPr>
              <w:t xml:space="preserve">Catches of commercially valuable and above minimum size specimens of crustaceans are typically recorded in shellfish returns, but for the rest data availability is poor.  </w:t>
            </w:r>
          </w:p>
          <w:p w14:paraId="1F2D1B23" w14:textId="77777777" w:rsidR="00A52B1F" w:rsidRDefault="00A52B1F" w:rsidP="00A52B1F">
            <w:pPr>
              <w:rPr>
                <w:rFonts w:cs="Arial"/>
                <w:color w:val="000000"/>
                <w:lang w:eastAsia="en-GB"/>
              </w:rPr>
            </w:pPr>
            <w:r>
              <w:rPr>
                <w:rFonts w:cs="Arial"/>
                <w:color w:val="000000"/>
                <w:lang w:eastAsia="en-GB"/>
              </w:rPr>
              <w:t xml:space="preserve">Periodic independent assessment of catches is made as part of IFCA monitoring and research programmes, but this does not form part of a coherent and coordinated monitoring of bycatch. </w:t>
            </w:r>
          </w:p>
          <w:p w14:paraId="296DF925" w14:textId="77777777" w:rsidR="00710249" w:rsidRDefault="00A52B1F" w:rsidP="00710249">
            <w:pPr>
              <w:rPr>
                <w:rFonts w:cs="Arial"/>
                <w:color w:val="000000"/>
                <w:lang w:eastAsia="en-GB"/>
              </w:rPr>
            </w:pPr>
            <w:r>
              <w:rPr>
                <w:rFonts w:cs="Arial"/>
                <w:color w:val="000000"/>
                <w:lang w:eastAsia="en-GB"/>
              </w:rPr>
              <w:t>Despite this</w:t>
            </w:r>
            <w:r w:rsidR="00710249">
              <w:rPr>
                <w:rFonts w:cs="Arial"/>
                <w:color w:val="000000"/>
                <w:lang w:eastAsia="en-GB"/>
              </w:rPr>
              <w:t>,</w:t>
            </w:r>
            <w:r>
              <w:rPr>
                <w:rFonts w:cs="Arial"/>
                <w:color w:val="000000"/>
                <w:lang w:eastAsia="en-GB"/>
              </w:rPr>
              <w:t xml:space="preserve"> </w:t>
            </w:r>
            <w:r w:rsidR="00710249">
              <w:rPr>
                <w:rFonts w:cs="Arial"/>
                <w:color w:val="000000"/>
                <w:lang w:eastAsia="en-GB"/>
              </w:rPr>
              <w:t xml:space="preserve">this </w:t>
            </w:r>
            <w:r>
              <w:rPr>
                <w:rFonts w:cs="Arial"/>
                <w:color w:val="000000"/>
                <w:lang w:eastAsia="en-GB"/>
              </w:rPr>
              <w:t xml:space="preserve">fishery </w:t>
            </w:r>
            <w:r w:rsidR="00710249">
              <w:rPr>
                <w:rFonts w:cs="Arial"/>
                <w:color w:val="000000"/>
                <w:lang w:eastAsia="en-GB"/>
              </w:rPr>
              <w:t xml:space="preserve">is </w:t>
            </w:r>
            <w:r>
              <w:rPr>
                <w:rFonts w:cs="Arial"/>
                <w:color w:val="000000"/>
                <w:lang w:eastAsia="en-GB"/>
              </w:rPr>
              <w:t>likely to have negligible impact on the populations of these ETP species</w:t>
            </w:r>
            <w:r w:rsidR="00710249">
              <w:rPr>
                <w:rFonts w:cs="Arial"/>
                <w:color w:val="000000"/>
                <w:lang w:eastAsia="en-GB"/>
              </w:rPr>
              <w:t xml:space="preserve">.  </w:t>
            </w:r>
          </w:p>
          <w:p w14:paraId="368340CA" w14:textId="7AFBDB1A" w:rsidR="00FA7D41" w:rsidRPr="005C0C94" w:rsidRDefault="00710249" w:rsidP="00710249">
            <w:pPr>
              <w:rPr>
                <w:rFonts w:cs="Arial"/>
                <w:color w:val="000000"/>
                <w:lang w:eastAsia="en-GB"/>
              </w:rPr>
            </w:pPr>
            <w:r>
              <w:rPr>
                <w:rFonts w:cs="Arial"/>
                <w:color w:val="000000"/>
                <w:lang w:eastAsia="en-GB"/>
              </w:rPr>
              <w:t>N</w:t>
            </w:r>
            <w:r w:rsidR="00A52B1F">
              <w:rPr>
                <w:rFonts w:cs="Arial"/>
                <w:color w:val="000000"/>
                <w:lang w:eastAsia="en-GB"/>
              </w:rPr>
              <w:t>o specific recording of ETP species by fishermen is required or encouraged, though this is captured where independent surveys are undertaken.</w:t>
            </w:r>
          </w:p>
        </w:tc>
      </w:tr>
      <w:tr w:rsidR="00FA7D41" w:rsidRPr="005C0C94" w14:paraId="4D48CEE6" w14:textId="77777777" w:rsidTr="000A39D4">
        <w:trPr>
          <w:trHeight w:val="540"/>
        </w:trPr>
        <w:tc>
          <w:tcPr>
            <w:tcW w:w="1036" w:type="dxa"/>
            <w:vMerge/>
            <w:tcBorders>
              <w:left w:val="single" w:sz="4" w:space="0" w:color="auto"/>
              <w:right w:val="single" w:sz="4" w:space="0" w:color="auto"/>
            </w:tcBorders>
          </w:tcPr>
          <w:p w14:paraId="517378BA" w14:textId="54F197FB" w:rsidR="00FA7D41" w:rsidRPr="00323770" w:rsidRDefault="00FA7D41" w:rsidP="002432AC">
            <w:pPr>
              <w:rPr>
                <w:rFonts w:cs="Arial"/>
                <w:color w:val="000000"/>
                <w:sz w:val="20"/>
                <w:szCs w:val="20"/>
                <w:lang w:eastAsia="en-GB"/>
              </w:rPr>
            </w:pPr>
          </w:p>
        </w:tc>
        <w:tc>
          <w:tcPr>
            <w:tcW w:w="1418" w:type="dxa"/>
            <w:vMerge w:val="restart"/>
            <w:tcBorders>
              <w:top w:val="single" w:sz="4" w:space="0" w:color="auto"/>
              <w:left w:val="single" w:sz="4" w:space="0" w:color="auto"/>
              <w:right w:val="single" w:sz="4" w:space="0" w:color="auto"/>
            </w:tcBorders>
            <w:shd w:val="clear" w:color="auto" w:fill="auto"/>
            <w:vAlign w:val="center"/>
          </w:tcPr>
          <w:p w14:paraId="55EB530F"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Habitats</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FDE37F9"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2.4.1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B1616E9"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Outcome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979BF1D" w14:textId="746FAC88"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No</w:t>
            </w:r>
          </w:p>
        </w:tc>
        <w:tc>
          <w:tcPr>
            <w:tcW w:w="8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3EA5868A" w14:textId="4F2D8AE0" w:rsidR="00FA7D41" w:rsidRPr="00323770" w:rsidRDefault="000A39D4" w:rsidP="002432AC">
            <w:pPr>
              <w:rPr>
                <w:rFonts w:cs="Arial"/>
                <w:color w:val="000000"/>
                <w:lang w:eastAsia="en-GB"/>
              </w:rPr>
            </w:pPr>
            <w:r w:rsidRPr="00DA4A8C">
              <w:rPr>
                <w:rFonts w:cs="Arial"/>
                <w:color w:val="000000"/>
                <w:lang w:eastAsia="en-GB"/>
              </w:rPr>
              <w:t>≥80</w:t>
            </w:r>
          </w:p>
        </w:tc>
        <w:tc>
          <w:tcPr>
            <w:tcW w:w="8204" w:type="dxa"/>
            <w:tcBorders>
              <w:top w:val="single" w:sz="4" w:space="0" w:color="auto"/>
              <w:left w:val="single" w:sz="4" w:space="0" w:color="auto"/>
              <w:bottom w:val="single" w:sz="4" w:space="0" w:color="auto"/>
              <w:right w:val="single" w:sz="4" w:space="0" w:color="auto"/>
            </w:tcBorders>
            <w:shd w:val="clear" w:color="auto" w:fill="auto"/>
            <w:vAlign w:val="center"/>
          </w:tcPr>
          <w:p w14:paraId="2C05B61B" w14:textId="41BE12A2" w:rsidR="00A52B1F" w:rsidRDefault="003B17B9" w:rsidP="00A52B1F">
            <w:pPr>
              <w:rPr>
                <w:rFonts w:cs="Arial"/>
                <w:color w:val="000000"/>
                <w:lang w:eastAsia="en-GB"/>
              </w:rPr>
            </w:pPr>
            <w:r w:rsidRPr="00A52B1F">
              <w:rPr>
                <w:rFonts w:cs="Arial"/>
                <w:color w:val="000000"/>
                <w:lang w:eastAsia="en-GB"/>
              </w:rPr>
              <w:t>The static</w:t>
            </w:r>
            <w:r>
              <w:rPr>
                <w:rFonts w:cs="Arial"/>
                <w:color w:val="000000"/>
                <w:lang w:eastAsia="en-GB"/>
              </w:rPr>
              <w:t xml:space="preserve"> </w:t>
            </w:r>
            <w:r w:rsidRPr="00A52B1F">
              <w:rPr>
                <w:rFonts w:cs="Arial"/>
                <w:color w:val="000000"/>
                <w:lang w:eastAsia="en-GB"/>
              </w:rPr>
              <w:t>gear used to prosecute the fishery is in contact with the bottom, but unlikely to have significant interaction with vulnerable habitats.</w:t>
            </w:r>
            <w:r>
              <w:rPr>
                <w:rFonts w:cs="Arial"/>
                <w:color w:val="000000"/>
                <w:lang w:eastAsia="en-GB"/>
              </w:rPr>
              <w:t xml:space="preserve">  </w:t>
            </w:r>
            <w:r w:rsidR="00A52B1F" w:rsidRPr="00A52B1F">
              <w:rPr>
                <w:rFonts w:cs="Arial"/>
                <w:color w:val="000000"/>
                <w:lang w:eastAsia="en-GB"/>
              </w:rPr>
              <w:t xml:space="preserve">The habitat risk of this fishery has been </w:t>
            </w:r>
            <w:r w:rsidR="00A52B1F">
              <w:rPr>
                <w:rFonts w:cs="Arial"/>
                <w:color w:val="000000"/>
                <w:lang w:eastAsia="en-GB"/>
              </w:rPr>
              <w:t xml:space="preserve">identified </w:t>
            </w:r>
            <w:r w:rsidR="00A52B1F" w:rsidRPr="00A52B1F">
              <w:rPr>
                <w:rFonts w:cs="Arial"/>
                <w:color w:val="000000"/>
                <w:lang w:eastAsia="en-GB"/>
              </w:rPr>
              <w:t xml:space="preserve">as low risk. </w:t>
            </w:r>
            <w:r w:rsidR="00DC3CC0">
              <w:rPr>
                <w:rFonts w:cs="Arial"/>
                <w:color w:val="000000"/>
                <w:lang w:eastAsia="en-GB"/>
              </w:rPr>
              <w:t>E</w:t>
            </w:r>
            <w:r w:rsidR="00A52B1F" w:rsidRPr="00A52B1F">
              <w:rPr>
                <w:rFonts w:cs="Arial"/>
                <w:color w:val="000000"/>
                <w:lang w:eastAsia="en-GB"/>
              </w:rPr>
              <w:t>vidence suggests fishery impact on the bottom is</w:t>
            </w:r>
            <w:r w:rsidR="00A52B1F">
              <w:rPr>
                <w:rFonts w:cs="Arial"/>
                <w:color w:val="000000"/>
                <w:lang w:eastAsia="en-GB"/>
              </w:rPr>
              <w:t xml:space="preserve"> </w:t>
            </w:r>
            <w:r w:rsidR="00A52B1F" w:rsidRPr="00A52B1F">
              <w:rPr>
                <w:rFonts w:cs="Arial"/>
                <w:color w:val="000000"/>
                <w:lang w:eastAsia="en-GB"/>
              </w:rPr>
              <w:t xml:space="preserve">restricted to some abrasion caused by dragging pots and anchors during hauling and tide and wave action (Grieve et al., 2014). </w:t>
            </w:r>
          </w:p>
          <w:p w14:paraId="0E863089" w14:textId="77777777" w:rsidR="003B17B9" w:rsidRDefault="00710249" w:rsidP="003B17B9">
            <w:pPr>
              <w:rPr>
                <w:rFonts w:cs="Arial"/>
                <w:color w:val="000000"/>
                <w:lang w:eastAsia="en-GB"/>
              </w:rPr>
            </w:pPr>
            <w:r>
              <w:rPr>
                <w:rFonts w:cs="Arial"/>
                <w:color w:val="000000"/>
                <w:lang w:eastAsia="en-GB"/>
              </w:rPr>
              <w:t xml:space="preserve">There are a significant number of areas given environmental protection designation within this fishery, comprising mainly SACs, SPAs, and MCZs.  In most cases active management of these areas limits or excludes fishing with mobile gear, but allows fishing with static gear and impact of such fishing </w:t>
            </w:r>
            <w:r w:rsidR="003B17B9">
              <w:rPr>
                <w:rFonts w:cs="Arial"/>
                <w:color w:val="000000"/>
                <w:lang w:eastAsia="en-GB"/>
              </w:rPr>
              <w:t>is</w:t>
            </w:r>
            <w:r>
              <w:rPr>
                <w:rFonts w:cs="Arial"/>
                <w:color w:val="000000"/>
                <w:lang w:eastAsia="en-GB"/>
              </w:rPr>
              <w:t xml:space="preserve"> monitored.  </w:t>
            </w:r>
          </w:p>
          <w:p w14:paraId="6F272F27" w14:textId="4D00A1CE" w:rsidR="00FA7D41" w:rsidRPr="005C0C94" w:rsidRDefault="00710249" w:rsidP="003B17B9">
            <w:pPr>
              <w:rPr>
                <w:rFonts w:cs="Arial"/>
                <w:color w:val="000000"/>
                <w:lang w:eastAsia="en-GB"/>
              </w:rPr>
            </w:pPr>
            <w:r>
              <w:rPr>
                <w:rFonts w:cs="Arial"/>
                <w:color w:val="000000"/>
                <w:lang w:eastAsia="en-GB"/>
              </w:rPr>
              <w:t>Discrete areas on the deep water periphery of the area under assessment are designated as Vulnerable Marine Ecosystems (VMEs), where potting is excluded.  These v</w:t>
            </w:r>
            <w:r w:rsidR="00A52B1F" w:rsidRPr="00A52B1F">
              <w:rPr>
                <w:rFonts w:cs="Arial"/>
                <w:color w:val="000000"/>
                <w:lang w:eastAsia="en-GB"/>
              </w:rPr>
              <w:t xml:space="preserve">ulnerable marine habitats are protected within </w:t>
            </w:r>
            <w:r>
              <w:rPr>
                <w:rFonts w:cs="Arial"/>
                <w:color w:val="000000"/>
                <w:lang w:eastAsia="en-GB"/>
              </w:rPr>
              <w:t xml:space="preserve">the </w:t>
            </w:r>
            <w:r w:rsidR="00A52B1F" w:rsidRPr="00A52B1F">
              <w:rPr>
                <w:rFonts w:cs="Arial"/>
                <w:color w:val="000000"/>
                <w:lang w:eastAsia="en-GB"/>
              </w:rPr>
              <w:t>Convention for the Protection of the Marine Environment of the North-East Atlantic</w:t>
            </w:r>
            <w:r w:rsidR="00A52B1F">
              <w:rPr>
                <w:rFonts w:cs="Arial"/>
                <w:color w:val="000000"/>
                <w:lang w:eastAsia="en-GB"/>
              </w:rPr>
              <w:t xml:space="preserve"> </w:t>
            </w:r>
            <w:r w:rsidR="00A52B1F" w:rsidRPr="00A52B1F">
              <w:rPr>
                <w:rFonts w:cs="Arial"/>
                <w:color w:val="000000"/>
                <w:lang w:eastAsia="en-GB"/>
              </w:rPr>
              <w:t xml:space="preserve">(OSPAR, 2013) and any kind of fishery there might be </w:t>
            </w:r>
            <w:r>
              <w:rPr>
                <w:rFonts w:cs="Arial"/>
                <w:color w:val="000000"/>
                <w:lang w:eastAsia="en-GB"/>
              </w:rPr>
              <w:t>controlled if deemed necessary.</w:t>
            </w:r>
          </w:p>
        </w:tc>
      </w:tr>
      <w:tr w:rsidR="00FA7D41" w:rsidRPr="005C0C94" w14:paraId="167D0ABC" w14:textId="77777777" w:rsidTr="000A39D4">
        <w:trPr>
          <w:trHeight w:val="540"/>
        </w:trPr>
        <w:tc>
          <w:tcPr>
            <w:tcW w:w="1036" w:type="dxa"/>
            <w:vMerge/>
            <w:tcBorders>
              <w:left w:val="single" w:sz="4" w:space="0" w:color="auto"/>
              <w:right w:val="single" w:sz="4" w:space="0" w:color="auto"/>
            </w:tcBorders>
          </w:tcPr>
          <w:p w14:paraId="7D361E66" w14:textId="77777777" w:rsidR="00FA7D41" w:rsidRPr="00323770" w:rsidRDefault="00FA7D41" w:rsidP="002432AC">
            <w:pPr>
              <w:rPr>
                <w:rFonts w:cs="Arial"/>
                <w:color w:val="000000"/>
                <w:sz w:val="20"/>
                <w:szCs w:val="20"/>
                <w:lang w:eastAsia="en-GB"/>
              </w:rPr>
            </w:pPr>
          </w:p>
        </w:tc>
        <w:tc>
          <w:tcPr>
            <w:tcW w:w="1418" w:type="dxa"/>
            <w:vMerge/>
            <w:tcBorders>
              <w:left w:val="single" w:sz="4" w:space="0" w:color="auto"/>
              <w:right w:val="single" w:sz="4" w:space="0" w:color="auto"/>
            </w:tcBorders>
            <w:shd w:val="clear" w:color="auto" w:fill="auto"/>
            <w:vAlign w:val="center"/>
          </w:tcPr>
          <w:p w14:paraId="20392EE2" w14:textId="77777777" w:rsidR="00FA7D41" w:rsidRPr="00323770" w:rsidRDefault="00FA7D41" w:rsidP="002432AC">
            <w:pPr>
              <w:rPr>
                <w:rFonts w:cs="Arial"/>
                <w:color w:val="000000"/>
                <w:sz w:val="20"/>
                <w:szCs w:val="20"/>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CC86972"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2.4.2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F820FFC"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Management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BABFAA7" w14:textId="3C65C149"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N/A</w:t>
            </w:r>
          </w:p>
        </w:tc>
        <w:tc>
          <w:tcPr>
            <w:tcW w:w="8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0FBBDD25" w14:textId="2A800A85" w:rsidR="00FA7D41" w:rsidRPr="00323770" w:rsidRDefault="000A39D4" w:rsidP="002432AC">
            <w:pPr>
              <w:rPr>
                <w:rFonts w:cs="Arial"/>
                <w:color w:val="000000"/>
                <w:lang w:eastAsia="en-GB"/>
              </w:rPr>
            </w:pPr>
            <w:r w:rsidRPr="00DA4A8C">
              <w:rPr>
                <w:rFonts w:cs="Arial"/>
                <w:color w:val="000000"/>
                <w:lang w:eastAsia="en-GB"/>
              </w:rPr>
              <w:t>≥80</w:t>
            </w:r>
          </w:p>
        </w:tc>
        <w:tc>
          <w:tcPr>
            <w:tcW w:w="8204" w:type="dxa"/>
            <w:tcBorders>
              <w:top w:val="single" w:sz="4" w:space="0" w:color="auto"/>
              <w:left w:val="single" w:sz="4" w:space="0" w:color="auto"/>
              <w:bottom w:val="single" w:sz="4" w:space="0" w:color="auto"/>
              <w:right w:val="single" w:sz="4" w:space="0" w:color="auto"/>
            </w:tcBorders>
            <w:shd w:val="clear" w:color="auto" w:fill="auto"/>
            <w:vAlign w:val="center"/>
          </w:tcPr>
          <w:p w14:paraId="0C04CABC" w14:textId="4E56BA51" w:rsidR="005E5E8E" w:rsidRDefault="005E5E8E" w:rsidP="005E5E8E">
            <w:pPr>
              <w:rPr>
                <w:rFonts w:cs="Arial"/>
                <w:color w:val="000000"/>
                <w:lang w:eastAsia="en-GB"/>
              </w:rPr>
            </w:pPr>
            <w:r>
              <w:rPr>
                <w:rFonts w:cs="Arial"/>
                <w:color w:val="000000"/>
                <w:lang w:eastAsia="en-GB"/>
              </w:rPr>
              <w:t>There is a comprehensive strategy in place through the combination of International, EU, UK and local management regimes</w:t>
            </w:r>
            <w:r w:rsidR="003B17B9">
              <w:rPr>
                <w:rFonts w:cs="Arial"/>
                <w:color w:val="000000"/>
                <w:lang w:eastAsia="en-GB"/>
              </w:rPr>
              <w:t xml:space="preserve"> – both across the area, and where designated areas are subject to specific management conditions</w:t>
            </w:r>
            <w:r>
              <w:rPr>
                <w:rFonts w:cs="Arial"/>
                <w:color w:val="000000"/>
                <w:lang w:eastAsia="en-GB"/>
              </w:rPr>
              <w:t xml:space="preserve">. </w:t>
            </w:r>
          </w:p>
          <w:p w14:paraId="2EE23603" w14:textId="77777777" w:rsidR="005E5E8E" w:rsidRDefault="005E5E8E" w:rsidP="005E5E8E">
            <w:pPr>
              <w:rPr>
                <w:rFonts w:cs="Arial"/>
                <w:color w:val="000000"/>
                <w:lang w:eastAsia="en-GB"/>
              </w:rPr>
            </w:pPr>
            <w:r>
              <w:rPr>
                <w:rFonts w:cs="Arial"/>
                <w:color w:val="000000"/>
                <w:lang w:eastAsia="en-GB"/>
              </w:rPr>
              <w:lastRenderedPageBreak/>
              <w:t xml:space="preserve">This strategy is likely to work, and there is previous evidence of measures being implemented in order to protect at-risk habitats (e.g. ban on benthic gear in certain areas). </w:t>
            </w:r>
          </w:p>
          <w:p w14:paraId="373ECEE8" w14:textId="77777777" w:rsidR="005E5E8E" w:rsidRDefault="005E5E8E" w:rsidP="005E5E8E">
            <w:pPr>
              <w:rPr>
                <w:rFonts w:cs="Arial"/>
                <w:color w:val="000000"/>
                <w:lang w:eastAsia="en-GB"/>
              </w:rPr>
            </w:pPr>
            <w:r>
              <w:rPr>
                <w:rFonts w:cs="Arial"/>
                <w:color w:val="000000"/>
                <w:lang w:eastAsia="en-GB"/>
              </w:rPr>
              <w:t xml:space="preserve">Quantitative evidence exists to show the strategy is being implemented successfully. </w:t>
            </w:r>
          </w:p>
          <w:p w14:paraId="351F8D50" w14:textId="7F946E7F" w:rsidR="00FA7D41" w:rsidRPr="005C0C94" w:rsidRDefault="005E5E8E" w:rsidP="005E5E8E">
            <w:pPr>
              <w:rPr>
                <w:rFonts w:cs="Arial"/>
                <w:color w:val="000000"/>
                <w:lang w:eastAsia="en-GB"/>
              </w:rPr>
            </w:pPr>
            <w:r>
              <w:rPr>
                <w:rFonts w:cs="Arial"/>
                <w:color w:val="000000"/>
                <w:lang w:eastAsia="en-GB"/>
              </w:rPr>
              <w:t>No direct evidence of VME compliance has been seen, though the presence of on-board VMS systems mean evidence is likely to exist.</w:t>
            </w:r>
          </w:p>
        </w:tc>
      </w:tr>
      <w:tr w:rsidR="00FA7D41" w:rsidRPr="005C0C94" w14:paraId="0E0573E5" w14:textId="77777777" w:rsidTr="000A39D4">
        <w:trPr>
          <w:trHeight w:val="540"/>
        </w:trPr>
        <w:tc>
          <w:tcPr>
            <w:tcW w:w="1036" w:type="dxa"/>
            <w:vMerge/>
            <w:tcBorders>
              <w:left w:val="single" w:sz="4" w:space="0" w:color="auto"/>
              <w:right w:val="single" w:sz="4" w:space="0" w:color="auto"/>
            </w:tcBorders>
          </w:tcPr>
          <w:p w14:paraId="56118B83" w14:textId="77777777" w:rsidR="00FA7D41" w:rsidRPr="00323770" w:rsidRDefault="00FA7D41" w:rsidP="002432AC">
            <w:pPr>
              <w:rPr>
                <w:rFonts w:cs="Arial"/>
                <w:color w:val="000000"/>
                <w:sz w:val="20"/>
                <w:szCs w:val="20"/>
                <w:lang w:eastAsia="en-GB"/>
              </w:rPr>
            </w:pPr>
          </w:p>
        </w:tc>
        <w:tc>
          <w:tcPr>
            <w:tcW w:w="1418" w:type="dxa"/>
            <w:vMerge/>
            <w:tcBorders>
              <w:left w:val="single" w:sz="4" w:space="0" w:color="auto"/>
              <w:bottom w:val="single" w:sz="4" w:space="0" w:color="auto"/>
              <w:right w:val="single" w:sz="4" w:space="0" w:color="auto"/>
            </w:tcBorders>
            <w:shd w:val="clear" w:color="auto" w:fill="auto"/>
            <w:vAlign w:val="center"/>
          </w:tcPr>
          <w:p w14:paraId="7A2209C9" w14:textId="77777777" w:rsidR="00FA7D41" w:rsidRPr="00323770" w:rsidRDefault="00FA7D41" w:rsidP="002432AC">
            <w:pPr>
              <w:rPr>
                <w:rFonts w:cs="Arial"/>
                <w:color w:val="000000"/>
                <w:sz w:val="20"/>
                <w:szCs w:val="20"/>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6DE6520"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2.4.3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CDA2EE8"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Information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946292F" w14:textId="26B4D813"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N/A</w:t>
            </w:r>
          </w:p>
        </w:tc>
        <w:tc>
          <w:tcPr>
            <w:tcW w:w="8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13A6E50A" w14:textId="47B832F3" w:rsidR="00FA7D41" w:rsidRPr="00323770" w:rsidRDefault="000A39D4" w:rsidP="002432AC">
            <w:pPr>
              <w:rPr>
                <w:rFonts w:cs="Arial"/>
                <w:color w:val="000000"/>
                <w:lang w:eastAsia="en-GB"/>
              </w:rPr>
            </w:pPr>
            <w:r w:rsidRPr="00DA4A8C">
              <w:rPr>
                <w:rFonts w:cs="Arial"/>
                <w:color w:val="000000"/>
                <w:lang w:eastAsia="en-GB"/>
              </w:rPr>
              <w:t>≥80</w:t>
            </w:r>
          </w:p>
        </w:tc>
        <w:tc>
          <w:tcPr>
            <w:tcW w:w="8204" w:type="dxa"/>
            <w:tcBorders>
              <w:top w:val="single" w:sz="4" w:space="0" w:color="auto"/>
              <w:left w:val="single" w:sz="4" w:space="0" w:color="auto"/>
              <w:bottom w:val="single" w:sz="4" w:space="0" w:color="auto"/>
              <w:right w:val="single" w:sz="4" w:space="0" w:color="auto"/>
            </w:tcBorders>
            <w:shd w:val="clear" w:color="auto" w:fill="auto"/>
            <w:vAlign w:val="center"/>
          </w:tcPr>
          <w:p w14:paraId="15DB9297" w14:textId="5CF62F70" w:rsidR="005E5E8E" w:rsidRDefault="003B17B9" w:rsidP="005E5E8E">
            <w:pPr>
              <w:rPr>
                <w:rFonts w:cs="Arial"/>
                <w:color w:val="000000"/>
                <w:lang w:eastAsia="en-GB"/>
              </w:rPr>
            </w:pPr>
            <w:r>
              <w:rPr>
                <w:rFonts w:cs="Arial"/>
                <w:color w:val="000000"/>
                <w:lang w:eastAsia="en-GB"/>
              </w:rPr>
              <w:t>Active monitoring of areas subject to specific environmental designation does take place, and irregular sampling and monitoring of habitat outside these areas is also conducted, though primarily inside the 6nm limit. Ongoing monitoring for habitat risks forms part of the strategy.</w:t>
            </w:r>
          </w:p>
          <w:p w14:paraId="04AD78F1" w14:textId="19DEA8D0" w:rsidR="00FA7D41" w:rsidRPr="005C0C94" w:rsidRDefault="003B17B9" w:rsidP="005E5E8E">
            <w:pPr>
              <w:rPr>
                <w:rFonts w:cs="Arial"/>
                <w:color w:val="000000"/>
                <w:lang w:eastAsia="en-GB"/>
              </w:rPr>
            </w:pPr>
            <w:r>
              <w:rPr>
                <w:rFonts w:cs="Arial"/>
                <w:color w:val="000000"/>
                <w:lang w:eastAsia="en-GB"/>
              </w:rPr>
              <w:t>Despite the foregoing, a</w:t>
            </w:r>
            <w:r w:rsidR="005E5E8E">
              <w:rPr>
                <w:rFonts w:cs="Arial"/>
                <w:color w:val="000000"/>
                <w:lang w:eastAsia="en-GB"/>
              </w:rPr>
              <w:t xml:space="preserve"> greater level of information on the impacts of the UoA is necessary to assess the impacts of the Uo</w:t>
            </w:r>
            <w:r>
              <w:rPr>
                <w:rFonts w:cs="Arial"/>
                <w:color w:val="000000"/>
                <w:lang w:eastAsia="en-GB"/>
              </w:rPr>
              <w:t>C</w:t>
            </w:r>
            <w:r w:rsidR="005E5E8E">
              <w:rPr>
                <w:rFonts w:cs="Arial"/>
                <w:color w:val="000000"/>
                <w:lang w:eastAsia="en-GB"/>
              </w:rPr>
              <w:t xml:space="preserve">.  </w:t>
            </w:r>
          </w:p>
        </w:tc>
      </w:tr>
      <w:tr w:rsidR="00FA7D41" w:rsidRPr="005C0C94" w14:paraId="6BFF344B" w14:textId="77777777" w:rsidTr="00D83FB1">
        <w:trPr>
          <w:trHeight w:val="540"/>
        </w:trPr>
        <w:tc>
          <w:tcPr>
            <w:tcW w:w="1036" w:type="dxa"/>
            <w:vMerge/>
            <w:tcBorders>
              <w:left w:val="single" w:sz="4" w:space="0" w:color="auto"/>
              <w:right w:val="single" w:sz="4" w:space="0" w:color="auto"/>
            </w:tcBorders>
          </w:tcPr>
          <w:p w14:paraId="023BD077" w14:textId="77777777" w:rsidR="00FA7D41" w:rsidRPr="00323770" w:rsidRDefault="00FA7D41" w:rsidP="002432AC">
            <w:pPr>
              <w:rPr>
                <w:rFonts w:cs="Arial"/>
                <w:color w:val="000000"/>
                <w:sz w:val="20"/>
                <w:szCs w:val="20"/>
                <w:lang w:eastAsia="en-GB"/>
              </w:rPr>
            </w:pPr>
          </w:p>
        </w:tc>
        <w:tc>
          <w:tcPr>
            <w:tcW w:w="1418" w:type="dxa"/>
            <w:vMerge w:val="restart"/>
            <w:tcBorders>
              <w:top w:val="single" w:sz="4" w:space="0" w:color="auto"/>
              <w:left w:val="single" w:sz="4" w:space="0" w:color="auto"/>
              <w:right w:val="single" w:sz="4" w:space="0" w:color="auto"/>
            </w:tcBorders>
            <w:shd w:val="clear" w:color="auto" w:fill="auto"/>
            <w:vAlign w:val="center"/>
          </w:tcPr>
          <w:p w14:paraId="4BB92884"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Ecosystem</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9542E25"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2.5.1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D7AF1EB"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Outcome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09FB238" w14:textId="4C79B709"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No</w:t>
            </w:r>
          </w:p>
        </w:tc>
        <w:tc>
          <w:tcPr>
            <w:tcW w:w="8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0984CCC3" w14:textId="67DC7FDA" w:rsidR="00FA7D41" w:rsidRPr="00323770" w:rsidRDefault="00D83FB1" w:rsidP="002432AC">
            <w:pPr>
              <w:rPr>
                <w:rFonts w:cs="Arial"/>
                <w:color w:val="000000"/>
                <w:lang w:eastAsia="en-GB"/>
              </w:rPr>
            </w:pPr>
            <w:r w:rsidRPr="00DA4A8C">
              <w:rPr>
                <w:rFonts w:cs="Arial"/>
                <w:color w:val="000000"/>
                <w:lang w:eastAsia="en-GB"/>
              </w:rPr>
              <w:t>≥80</w:t>
            </w:r>
          </w:p>
        </w:tc>
        <w:tc>
          <w:tcPr>
            <w:tcW w:w="8204" w:type="dxa"/>
            <w:tcBorders>
              <w:top w:val="single" w:sz="4" w:space="0" w:color="auto"/>
              <w:left w:val="single" w:sz="4" w:space="0" w:color="auto"/>
              <w:bottom w:val="single" w:sz="4" w:space="0" w:color="auto"/>
              <w:right w:val="single" w:sz="4" w:space="0" w:color="auto"/>
            </w:tcBorders>
            <w:shd w:val="clear" w:color="auto" w:fill="auto"/>
            <w:vAlign w:val="center"/>
          </w:tcPr>
          <w:p w14:paraId="46B01415" w14:textId="0AB3F606" w:rsidR="00FA7D41" w:rsidRPr="005C0C94" w:rsidRDefault="00942EB4" w:rsidP="00D83FB1">
            <w:pPr>
              <w:rPr>
                <w:rFonts w:cs="Arial"/>
                <w:color w:val="000000"/>
                <w:lang w:eastAsia="en-GB"/>
              </w:rPr>
            </w:pPr>
            <w:r>
              <w:rPr>
                <w:rFonts w:cs="Arial"/>
                <w:color w:val="000000"/>
                <w:lang w:eastAsia="en-GB"/>
              </w:rPr>
              <w:t>There is a presumption that static potting gear impact on the ecosystem is low risk</w:t>
            </w:r>
            <w:r w:rsidR="00D83FB1">
              <w:rPr>
                <w:rFonts w:cs="Arial"/>
                <w:color w:val="000000"/>
                <w:lang w:eastAsia="en-GB"/>
              </w:rPr>
              <w:t xml:space="preserve"> and this has been borne out by studies to date</w:t>
            </w:r>
            <w:r w:rsidR="003B17B9">
              <w:rPr>
                <w:rFonts w:cs="Arial"/>
                <w:color w:val="000000"/>
                <w:lang w:eastAsia="en-GB"/>
              </w:rPr>
              <w:t xml:space="preserve">.  Some specific assessment of parts of the Start Point managed area (subject to the Start Point Inshore Potting Agreement) has been undertaken, </w:t>
            </w:r>
            <w:r>
              <w:rPr>
                <w:rFonts w:cs="Arial"/>
                <w:color w:val="000000"/>
                <w:lang w:eastAsia="en-GB"/>
              </w:rPr>
              <w:t>and this has shown overall improvements in biodiversity where mobile gear has been seasonally or totally banned in an area, and where potting continues to be conducted.</w:t>
            </w:r>
          </w:p>
        </w:tc>
      </w:tr>
      <w:tr w:rsidR="00FA7D41" w:rsidRPr="005C0C94" w14:paraId="50BB53CE" w14:textId="77777777" w:rsidTr="000A39D4">
        <w:trPr>
          <w:trHeight w:val="540"/>
        </w:trPr>
        <w:tc>
          <w:tcPr>
            <w:tcW w:w="1036" w:type="dxa"/>
            <w:vMerge/>
            <w:tcBorders>
              <w:left w:val="single" w:sz="4" w:space="0" w:color="auto"/>
              <w:right w:val="single" w:sz="4" w:space="0" w:color="auto"/>
            </w:tcBorders>
          </w:tcPr>
          <w:p w14:paraId="38860E7E" w14:textId="3140994B" w:rsidR="00FA7D41" w:rsidRPr="00323770" w:rsidRDefault="00FA7D41" w:rsidP="002432AC">
            <w:pPr>
              <w:rPr>
                <w:rFonts w:cs="Arial"/>
                <w:color w:val="000000"/>
                <w:sz w:val="20"/>
                <w:szCs w:val="20"/>
                <w:lang w:eastAsia="en-GB"/>
              </w:rPr>
            </w:pPr>
          </w:p>
        </w:tc>
        <w:tc>
          <w:tcPr>
            <w:tcW w:w="1418" w:type="dxa"/>
            <w:vMerge/>
            <w:tcBorders>
              <w:left w:val="single" w:sz="4" w:space="0" w:color="auto"/>
              <w:right w:val="single" w:sz="4" w:space="0" w:color="auto"/>
            </w:tcBorders>
            <w:shd w:val="clear" w:color="auto" w:fill="auto"/>
            <w:vAlign w:val="center"/>
          </w:tcPr>
          <w:p w14:paraId="09E6CB52" w14:textId="77777777" w:rsidR="00FA7D41" w:rsidRPr="00323770" w:rsidRDefault="00FA7D41" w:rsidP="002432AC">
            <w:pPr>
              <w:rPr>
                <w:rFonts w:cs="Arial"/>
                <w:color w:val="000000"/>
                <w:sz w:val="20"/>
                <w:szCs w:val="20"/>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612D091"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2.5.2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AD84B54"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Management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6CEAAB5" w14:textId="02D2207B"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N/A</w:t>
            </w:r>
          </w:p>
        </w:tc>
        <w:tc>
          <w:tcPr>
            <w:tcW w:w="8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2177CFC0" w14:textId="42574F53" w:rsidR="00FA7D41" w:rsidRPr="00323770" w:rsidRDefault="000A39D4" w:rsidP="002432AC">
            <w:pPr>
              <w:rPr>
                <w:rFonts w:cs="Arial"/>
                <w:color w:val="000000"/>
                <w:lang w:eastAsia="en-GB"/>
              </w:rPr>
            </w:pPr>
            <w:r w:rsidRPr="00DA4A8C">
              <w:rPr>
                <w:rFonts w:cs="Arial"/>
                <w:color w:val="000000"/>
                <w:lang w:eastAsia="en-GB"/>
              </w:rPr>
              <w:t>≥80</w:t>
            </w:r>
          </w:p>
        </w:tc>
        <w:tc>
          <w:tcPr>
            <w:tcW w:w="8204" w:type="dxa"/>
            <w:tcBorders>
              <w:top w:val="single" w:sz="4" w:space="0" w:color="auto"/>
              <w:left w:val="single" w:sz="4" w:space="0" w:color="auto"/>
              <w:bottom w:val="single" w:sz="4" w:space="0" w:color="auto"/>
              <w:right w:val="single" w:sz="4" w:space="0" w:color="auto"/>
            </w:tcBorders>
            <w:shd w:val="clear" w:color="auto" w:fill="auto"/>
            <w:vAlign w:val="center"/>
          </w:tcPr>
          <w:p w14:paraId="2C593DEF" w14:textId="42FB1C00" w:rsidR="00942EB4" w:rsidRDefault="0054152A" w:rsidP="00942EB4">
            <w:pPr>
              <w:rPr>
                <w:rFonts w:cs="Arial"/>
                <w:color w:val="000000"/>
                <w:lang w:eastAsia="en-GB"/>
              </w:rPr>
            </w:pPr>
            <w:r>
              <w:rPr>
                <w:rFonts w:cs="Arial"/>
                <w:color w:val="000000"/>
                <w:lang w:eastAsia="en-GB"/>
              </w:rPr>
              <w:t>There is an increasing focus on ecosystem management at the EU CFP and ICES advisory level</w:t>
            </w:r>
            <w:r w:rsidR="00942EB4">
              <w:rPr>
                <w:rFonts w:cs="Arial"/>
                <w:color w:val="000000"/>
                <w:lang w:eastAsia="en-GB"/>
              </w:rPr>
              <w:t xml:space="preserve"> (WGCRAB), and where designated areas are subject to specific environmental management (SPAs, SACs, MCZs and VMEs)</w:t>
            </w:r>
            <w:r>
              <w:rPr>
                <w:rFonts w:cs="Arial"/>
                <w:color w:val="000000"/>
                <w:lang w:eastAsia="en-GB"/>
              </w:rPr>
              <w:t>.</w:t>
            </w:r>
            <w:r w:rsidR="00942EB4">
              <w:rPr>
                <w:rFonts w:cs="Arial"/>
                <w:color w:val="000000"/>
                <w:lang w:eastAsia="en-GB"/>
              </w:rPr>
              <w:t xml:space="preserve"> </w:t>
            </w:r>
            <w:r>
              <w:rPr>
                <w:rFonts w:cs="Arial"/>
                <w:color w:val="000000"/>
                <w:lang w:eastAsia="en-GB"/>
              </w:rPr>
              <w:t xml:space="preserve"> Recent evidence for this includes the issuing </w:t>
            </w:r>
            <w:r w:rsidR="003346A9">
              <w:rPr>
                <w:rFonts w:cs="Arial"/>
                <w:color w:val="000000"/>
                <w:lang w:eastAsia="en-GB"/>
              </w:rPr>
              <w:t>by</w:t>
            </w:r>
            <w:r>
              <w:rPr>
                <w:rFonts w:cs="Arial"/>
                <w:color w:val="000000"/>
                <w:lang w:eastAsia="en-GB"/>
              </w:rPr>
              <w:t xml:space="preserve"> ICES of mixed fisheries advice and proposals for mixed fisheries multi-annual management plans. </w:t>
            </w:r>
          </w:p>
          <w:p w14:paraId="0C69C51B" w14:textId="76A9C26D" w:rsidR="00FA7D41" w:rsidRPr="005C0C94" w:rsidRDefault="0054152A" w:rsidP="00942EB4">
            <w:pPr>
              <w:rPr>
                <w:rFonts w:cs="Arial"/>
                <w:color w:val="000000"/>
                <w:lang w:eastAsia="en-GB"/>
              </w:rPr>
            </w:pPr>
            <w:r>
              <w:rPr>
                <w:rFonts w:cs="Arial"/>
                <w:color w:val="000000"/>
                <w:lang w:eastAsia="en-GB"/>
              </w:rPr>
              <w:t>In addition, there is considerable focus at an EU level o</w:t>
            </w:r>
            <w:r w:rsidR="00942EB4">
              <w:rPr>
                <w:rFonts w:cs="Arial"/>
                <w:color w:val="000000"/>
                <w:lang w:eastAsia="en-GB"/>
              </w:rPr>
              <w:t>n</w:t>
            </w:r>
            <w:r>
              <w:rPr>
                <w:rFonts w:cs="Arial"/>
                <w:color w:val="000000"/>
                <w:lang w:eastAsia="en-GB"/>
              </w:rPr>
              <w:t xml:space="preserve"> the marine </w:t>
            </w:r>
            <w:r w:rsidR="00942EB4">
              <w:rPr>
                <w:rFonts w:cs="Arial"/>
                <w:color w:val="000000"/>
                <w:lang w:eastAsia="en-GB"/>
              </w:rPr>
              <w:t>E</w:t>
            </w:r>
            <w:r>
              <w:rPr>
                <w:rFonts w:cs="Arial"/>
                <w:color w:val="000000"/>
                <w:lang w:eastAsia="en-GB"/>
              </w:rPr>
              <w:t xml:space="preserve">cosystem. For example, the EU Marine Strategy Framework Directive requires member states to assess the current state of their seas against agreed targets for ‘good environmental status’ and to establish both a programme of measures to meet these targets and a monitoring </w:t>
            </w:r>
            <w:r>
              <w:rPr>
                <w:rFonts w:cs="Arial"/>
                <w:color w:val="000000"/>
                <w:lang w:eastAsia="en-GB"/>
              </w:rPr>
              <w:lastRenderedPageBreak/>
              <w:t>programme to measure progress.</w:t>
            </w:r>
          </w:p>
        </w:tc>
      </w:tr>
      <w:tr w:rsidR="00FA7D41" w:rsidRPr="005C0C94" w14:paraId="7F9DAB3C" w14:textId="77777777" w:rsidTr="00FF5A54">
        <w:trPr>
          <w:trHeight w:val="540"/>
        </w:trPr>
        <w:tc>
          <w:tcPr>
            <w:tcW w:w="1036" w:type="dxa"/>
            <w:vMerge/>
            <w:tcBorders>
              <w:left w:val="single" w:sz="4" w:space="0" w:color="auto"/>
              <w:right w:val="single" w:sz="4" w:space="0" w:color="auto"/>
            </w:tcBorders>
          </w:tcPr>
          <w:p w14:paraId="3D8AEC1D" w14:textId="77777777" w:rsidR="00FA7D41" w:rsidRPr="00323770" w:rsidRDefault="00FA7D41" w:rsidP="002432AC">
            <w:pPr>
              <w:rPr>
                <w:rFonts w:cs="Arial"/>
                <w:color w:val="000000"/>
                <w:sz w:val="20"/>
                <w:szCs w:val="20"/>
                <w:lang w:eastAsia="en-GB"/>
              </w:rPr>
            </w:pPr>
          </w:p>
        </w:tc>
        <w:tc>
          <w:tcPr>
            <w:tcW w:w="1418" w:type="dxa"/>
            <w:vMerge/>
            <w:tcBorders>
              <w:left w:val="single" w:sz="4" w:space="0" w:color="auto"/>
              <w:bottom w:val="single" w:sz="4" w:space="0" w:color="auto"/>
              <w:right w:val="single" w:sz="4" w:space="0" w:color="auto"/>
            </w:tcBorders>
            <w:shd w:val="clear" w:color="auto" w:fill="auto"/>
            <w:vAlign w:val="center"/>
          </w:tcPr>
          <w:p w14:paraId="1590EC0E" w14:textId="77777777" w:rsidR="00FA7D41" w:rsidRPr="00323770" w:rsidRDefault="00FA7D41" w:rsidP="002432AC">
            <w:pPr>
              <w:rPr>
                <w:rFonts w:cs="Arial"/>
                <w:color w:val="000000"/>
                <w:sz w:val="20"/>
                <w:szCs w:val="20"/>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3BC8E8E"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2.5.3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3B5C3A4" w14:textId="77777777"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Information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F1F2D58" w14:textId="5234BE6A"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N/A</w:t>
            </w:r>
          </w:p>
        </w:tc>
        <w:tc>
          <w:tcPr>
            <w:tcW w:w="8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3A1B3660" w14:textId="18562909" w:rsidR="00FA7D41" w:rsidRPr="00323770" w:rsidRDefault="00FF5A54" w:rsidP="002432AC">
            <w:pPr>
              <w:rPr>
                <w:rFonts w:cs="Arial"/>
                <w:color w:val="000000"/>
                <w:lang w:eastAsia="en-GB"/>
              </w:rPr>
            </w:pPr>
            <w:r w:rsidRPr="00DA4A8C">
              <w:rPr>
                <w:rFonts w:cs="Arial"/>
                <w:color w:val="000000"/>
                <w:lang w:eastAsia="en-GB"/>
              </w:rPr>
              <w:t>≥80</w:t>
            </w:r>
          </w:p>
        </w:tc>
        <w:tc>
          <w:tcPr>
            <w:tcW w:w="8204" w:type="dxa"/>
            <w:tcBorders>
              <w:top w:val="single" w:sz="4" w:space="0" w:color="auto"/>
              <w:left w:val="single" w:sz="4" w:space="0" w:color="auto"/>
              <w:bottom w:val="single" w:sz="4" w:space="0" w:color="auto"/>
              <w:right w:val="single" w:sz="4" w:space="0" w:color="auto"/>
            </w:tcBorders>
            <w:shd w:val="clear" w:color="auto" w:fill="auto"/>
            <w:vAlign w:val="center"/>
          </w:tcPr>
          <w:p w14:paraId="1852624C" w14:textId="77777777" w:rsidR="00671432" w:rsidRDefault="0054152A" w:rsidP="0054152A">
            <w:pPr>
              <w:rPr>
                <w:rFonts w:cs="Arial"/>
                <w:color w:val="000000"/>
                <w:lang w:eastAsia="en-GB"/>
              </w:rPr>
            </w:pPr>
            <w:r>
              <w:rPr>
                <w:rFonts w:cs="Arial"/>
                <w:color w:val="000000"/>
                <w:lang w:eastAsia="en-GB"/>
              </w:rPr>
              <w:t xml:space="preserve">The </w:t>
            </w:r>
            <w:r w:rsidR="00942EB4">
              <w:rPr>
                <w:rFonts w:cs="Arial"/>
                <w:color w:val="000000"/>
                <w:lang w:eastAsia="en-GB"/>
              </w:rPr>
              <w:t xml:space="preserve">work of the IFCAs and their predecessor Sea Fisheries Committees has </w:t>
            </w:r>
            <w:r w:rsidR="00671432">
              <w:rPr>
                <w:rFonts w:cs="Arial"/>
                <w:color w:val="000000"/>
                <w:lang w:eastAsia="en-GB"/>
              </w:rPr>
              <w:t xml:space="preserve">ensured improved knowledge and awareness of the state of the marine environment within the 6nm inshore regime.  </w:t>
            </w:r>
          </w:p>
          <w:p w14:paraId="13BE5711" w14:textId="3EF56BAB" w:rsidR="00671432" w:rsidRDefault="00671432" w:rsidP="0054152A">
            <w:pPr>
              <w:rPr>
                <w:rFonts w:cs="Arial"/>
                <w:color w:val="000000"/>
                <w:lang w:eastAsia="en-GB"/>
              </w:rPr>
            </w:pPr>
            <w:r>
              <w:rPr>
                <w:rFonts w:cs="Arial"/>
                <w:color w:val="000000"/>
                <w:lang w:eastAsia="en-GB"/>
              </w:rPr>
              <w:t xml:space="preserve">This has been substantially enhanced with the national policy to identify and establish Marine Conservation Zones (MCZs), to support the assessment by Cefas of shellfish stocks in inshore English waters, and the need to design and implement a revised approach to fisheries management in European Marine Sites (EMS).  </w:t>
            </w:r>
          </w:p>
          <w:p w14:paraId="4101DD90" w14:textId="06E1D37C" w:rsidR="00FA7D41" w:rsidRPr="005C0C94" w:rsidRDefault="00671432" w:rsidP="00986E35">
            <w:pPr>
              <w:rPr>
                <w:rFonts w:cs="Arial"/>
                <w:color w:val="000000"/>
                <w:lang w:eastAsia="en-GB"/>
              </w:rPr>
            </w:pPr>
            <w:r>
              <w:rPr>
                <w:rFonts w:cs="Arial"/>
                <w:color w:val="000000"/>
                <w:lang w:eastAsia="en-GB"/>
              </w:rPr>
              <w:t>Outside the inshore zone projects such as CHARM (eastern Channel) and MESH (western Channel) have ensur</w:t>
            </w:r>
            <w:r w:rsidR="00986E35">
              <w:rPr>
                <w:rFonts w:cs="Arial"/>
                <w:color w:val="000000"/>
                <w:lang w:eastAsia="en-GB"/>
              </w:rPr>
              <w:t>ed</w:t>
            </w:r>
            <w:r>
              <w:rPr>
                <w:rFonts w:cs="Arial"/>
                <w:color w:val="000000"/>
                <w:lang w:eastAsia="en-GB"/>
              </w:rPr>
              <w:t xml:space="preserve"> a broad brush scoping of the environmental characteristics of the other offshore areas that fall within the scope of this assessment, and increased integration of the work of environmental and fishery management institutions (through Natural England and the MMO) has resulted in greatly enhanced knowledge and understanding of the marine ecosystem.  This information has been used in part to inform </w:t>
            </w:r>
            <w:r w:rsidR="004C450B">
              <w:rPr>
                <w:rFonts w:cs="Arial"/>
                <w:color w:val="000000"/>
                <w:lang w:eastAsia="en-GB"/>
              </w:rPr>
              <w:t>improved marine spatial planning.</w:t>
            </w:r>
          </w:p>
        </w:tc>
      </w:tr>
      <w:tr w:rsidR="00FA7D41" w:rsidRPr="005C0C94" w14:paraId="35882CC2" w14:textId="77777777" w:rsidTr="00483E05">
        <w:trPr>
          <w:trHeight w:val="540"/>
        </w:trPr>
        <w:tc>
          <w:tcPr>
            <w:tcW w:w="1036" w:type="dxa"/>
            <w:vMerge/>
            <w:tcBorders>
              <w:left w:val="single" w:sz="4" w:space="0" w:color="auto"/>
              <w:bottom w:val="single" w:sz="4" w:space="0" w:color="auto"/>
              <w:right w:val="single" w:sz="4" w:space="0" w:color="auto"/>
            </w:tcBorders>
          </w:tcPr>
          <w:p w14:paraId="5EBF1967" w14:textId="6454F77A" w:rsidR="00FA7D41" w:rsidRPr="00323770" w:rsidRDefault="00FA7D41" w:rsidP="002432AC">
            <w:pPr>
              <w:rPr>
                <w:rFonts w:cs="Arial"/>
                <w:color w:val="000000"/>
                <w:sz w:val="20"/>
                <w:szCs w:val="20"/>
                <w:lang w:eastAsia="en-GB"/>
              </w:rPr>
            </w:pPr>
          </w:p>
        </w:tc>
        <w:tc>
          <w:tcPr>
            <w:tcW w:w="5529" w:type="dxa"/>
            <w:gridSpan w:val="5"/>
            <w:tcBorders>
              <w:left w:val="single" w:sz="4" w:space="0" w:color="auto"/>
              <w:bottom w:val="single" w:sz="4" w:space="0" w:color="auto"/>
              <w:right w:val="single" w:sz="4" w:space="0" w:color="auto"/>
            </w:tcBorders>
            <w:shd w:val="clear" w:color="auto" w:fill="auto"/>
            <w:vAlign w:val="center"/>
          </w:tcPr>
          <w:p w14:paraId="643E60F4" w14:textId="77777777" w:rsidR="00FA7D41" w:rsidRPr="00323770" w:rsidRDefault="00FA7D41" w:rsidP="008F313C">
            <w:pPr>
              <w:jc w:val="center"/>
              <w:rPr>
                <w:rFonts w:cs="Arial"/>
                <w:b/>
                <w:color w:val="000000"/>
                <w:lang w:eastAsia="en-GB"/>
              </w:rPr>
            </w:pPr>
            <w:r w:rsidRPr="00323770">
              <w:rPr>
                <w:rFonts w:cs="Arial"/>
                <w:b/>
                <w:color w:val="000000"/>
                <w:lang w:eastAsia="en-GB"/>
              </w:rPr>
              <w:t>Number of PIs less than 60:</w:t>
            </w:r>
          </w:p>
        </w:tc>
        <w:tc>
          <w:tcPr>
            <w:tcW w:w="8204" w:type="dxa"/>
            <w:tcBorders>
              <w:top w:val="single" w:sz="4" w:space="0" w:color="auto"/>
              <w:left w:val="single" w:sz="4" w:space="0" w:color="auto"/>
              <w:bottom w:val="single" w:sz="4" w:space="0" w:color="auto"/>
              <w:right w:val="single" w:sz="4" w:space="0" w:color="auto"/>
            </w:tcBorders>
            <w:shd w:val="clear" w:color="auto" w:fill="auto"/>
            <w:vAlign w:val="center"/>
          </w:tcPr>
          <w:p w14:paraId="481A56FE" w14:textId="54F2B990" w:rsidR="00FA7D41" w:rsidRPr="005C0C94" w:rsidRDefault="00FF5A54" w:rsidP="007D1E56">
            <w:pPr>
              <w:rPr>
                <w:rFonts w:cs="Arial"/>
                <w:color w:val="000000"/>
                <w:lang w:eastAsia="en-GB"/>
              </w:rPr>
            </w:pPr>
            <w:r>
              <w:rPr>
                <w:rFonts w:cs="Arial"/>
                <w:color w:val="000000"/>
                <w:lang w:eastAsia="en-GB"/>
              </w:rPr>
              <w:t>0</w:t>
            </w:r>
          </w:p>
        </w:tc>
      </w:tr>
    </w:tbl>
    <w:p w14:paraId="7B2C95C9" w14:textId="182AAAB6" w:rsidR="00483E05" w:rsidRDefault="00483E05"/>
    <w:p w14:paraId="37E3B3CD" w14:textId="2303AB60" w:rsidR="00BB556C" w:rsidRDefault="00BB556C">
      <w:pPr>
        <w:spacing w:after="0"/>
        <w:jc w:val="left"/>
      </w:pPr>
      <w:r>
        <w:br w:type="page"/>
      </w:r>
    </w:p>
    <w:p w14:paraId="5ED241B6" w14:textId="2172F552" w:rsidR="00483E05" w:rsidRDefault="00BB556C" w:rsidP="00BB556C">
      <w:pPr>
        <w:pStyle w:val="Caption"/>
      </w:pPr>
      <w:r>
        <w:lastRenderedPageBreak/>
        <w:t xml:space="preserve">Table </w:t>
      </w:r>
      <w:r w:rsidR="002D4E32">
        <w:t>A1.3</w:t>
      </w:r>
      <w:r w:rsidRPr="00BB556C">
        <w:t>: Simpli</w:t>
      </w:r>
      <w:r>
        <w:t>fied Scoring sheet – Principle 3</w:t>
      </w:r>
    </w:p>
    <w:tbl>
      <w:tblPr>
        <w:tblW w:w="14769" w:type="dxa"/>
        <w:tblInd w:w="93" w:type="dxa"/>
        <w:tblLayout w:type="fixed"/>
        <w:tblLook w:val="04A0" w:firstRow="1" w:lastRow="0" w:firstColumn="1" w:lastColumn="0" w:noHBand="0" w:noVBand="1"/>
      </w:tblPr>
      <w:tblGrid>
        <w:gridCol w:w="1036"/>
        <w:gridCol w:w="1418"/>
        <w:gridCol w:w="709"/>
        <w:gridCol w:w="1559"/>
        <w:gridCol w:w="992"/>
        <w:gridCol w:w="851"/>
        <w:gridCol w:w="8204"/>
      </w:tblGrid>
      <w:tr w:rsidR="00483E05" w:rsidRPr="005C0C94" w14:paraId="53EBD28A" w14:textId="77777777" w:rsidTr="00483E05">
        <w:trPr>
          <w:trHeight w:val="804"/>
          <w:tblHeader/>
        </w:trPr>
        <w:tc>
          <w:tcPr>
            <w:tcW w:w="1036" w:type="dxa"/>
            <w:tcBorders>
              <w:top w:val="single" w:sz="8" w:space="0" w:color="auto"/>
              <w:left w:val="single" w:sz="4" w:space="0" w:color="auto"/>
              <w:bottom w:val="single" w:sz="8" w:space="0" w:color="auto"/>
              <w:right w:val="single" w:sz="8" w:space="0" w:color="auto"/>
            </w:tcBorders>
            <w:shd w:val="clear" w:color="000000" w:fill="BFBFBF"/>
            <w:vAlign w:val="center"/>
          </w:tcPr>
          <w:p w14:paraId="11A08D40" w14:textId="77777777" w:rsidR="00483E05" w:rsidRPr="005C0C94" w:rsidRDefault="00483E05" w:rsidP="00752EA7">
            <w:pPr>
              <w:jc w:val="center"/>
              <w:rPr>
                <w:rFonts w:cs="Arial"/>
                <w:b/>
                <w:bCs/>
                <w:color w:val="000000"/>
                <w:sz w:val="20"/>
                <w:szCs w:val="20"/>
                <w:lang w:eastAsia="en-GB"/>
              </w:rPr>
            </w:pPr>
            <w:r w:rsidRPr="005C0C94">
              <w:rPr>
                <w:rFonts w:cs="Arial"/>
                <w:b/>
                <w:bCs/>
                <w:color w:val="000000"/>
                <w:sz w:val="20"/>
                <w:szCs w:val="20"/>
                <w:lang w:eastAsia="en-GB"/>
              </w:rPr>
              <w:t>Principle</w:t>
            </w:r>
          </w:p>
        </w:tc>
        <w:tc>
          <w:tcPr>
            <w:tcW w:w="1418" w:type="dxa"/>
            <w:tcBorders>
              <w:top w:val="single" w:sz="8" w:space="0" w:color="auto"/>
              <w:left w:val="single" w:sz="4" w:space="0" w:color="auto"/>
              <w:bottom w:val="single" w:sz="8" w:space="0" w:color="auto"/>
              <w:right w:val="single" w:sz="8" w:space="0" w:color="auto"/>
            </w:tcBorders>
            <w:shd w:val="clear" w:color="000000" w:fill="BFBFBF"/>
            <w:vAlign w:val="center"/>
            <w:hideMark/>
          </w:tcPr>
          <w:p w14:paraId="57578A18" w14:textId="77777777" w:rsidR="00483E05" w:rsidRPr="005C0C94" w:rsidRDefault="00483E05" w:rsidP="00752EA7">
            <w:pPr>
              <w:jc w:val="center"/>
              <w:rPr>
                <w:rFonts w:cs="Arial"/>
                <w:b/>
                <w:bCs/>
                <w:color w:val="000000"/>
                <w:sz w:val="20"/>
                <w:szCs w:val="20"/>
                <w:lang w:eastAsia="en-GB"/>
              </w:rPr>
            </w:pPr>
            <w:r w:rsidRPr="005C0C94">
              <w:rPr>
                <w:rFonts w:cs="Arial"/>
                <w:b/>
                <w:bCs/>
                <w:color w:val="000000"/>
                <w:sz w:val="20"/>
                <w:szCs w:val="20"/>
                <w:lang w:eastAsia="en-GB"/>
              </w:rPr>
              <w:t>Component</w:t>
            </w:r>
          </w:p>
        </w:tc>
        <w:tc>
          <w:tcPr>
            <w:tcW w:w="709" w:type="dxa"/>
            <w:tcBorders>
              <w:top w:val="single" w:sz="8" w:space="0" w:color="auto"/>
              <w:left w:val="nil"/>
              <w:bottom w:val="single" w:sz="8" w:space="0" w:color="auto"/>
              <w:right w:val="single" w:sz="8" w:space="0" w:color="auto"/>
            </w:tcBorders>
            <w:shd w:val="clear" w:color="000000" w:fill="BFBFBF"/>
            <w:vAlign w:val="center"/>
            <w:hideMark/>
          </w:tcPr>
          <w:p w14:paraId="54599D40" w14:textId="77777777" w:rsidR="00483E05" w:rsidRPr="005C0C94" w:rsidRDefault="00483E05" w:rsidP="00752EA7">
            <w:pPr>
              <w:jc w:val="center"/>
              <w:rPr>
                <w:rFonts w:cs="Arial"/>
                <w:b/>
                <w:bCs/>
                <w:color w:val="000000"/>
                <w:sz w:val="20"/>
                <w:szCs w:val="20"/>
                <w:lang w:eastAsia="en-GB"/>
              </w:rPr>
            </w:pPr>
            <w:r w:rsidRPr="005C0C94">
              <w:rPr>
                <w:rFonts w:cs="Arial"/>
                <w:b/>
                <w:bCs/>
                <w:color w:val="000000"/>
                <w:sz w:val="20"/>
                <w:szCs w:val="20"/>
                <w:lang w:eastAsia="en-GB"/>
              </w:rPr>
              <w:t xml:space="preserve">PI </w:t>
            </w:r>
          </w:p>
        </w:tc>
        <w:tc>
          <w:tcPr>
            <w:tcW w:w="1559" w:type="dxa"/>
            <w:tcBorders>
              <w:top w:val="single" w:sz="8" w:space="0" w:color="auto"/>
              <w:left w:val="nil"/>
              <w:bottom w:val="single" w:sz="8" w:space="0" w:color="auto"/>
              <w:right w:val="single" w:sz="8" w:space="0" w:color="auto"/>
            </w:tcBorders>
            <w:shd w:val="clear" w:color="000000" w:fill="BFBFBF"/>
            <w:vAlign w:val="center"/>
            <w:hideMark/>
          </w:tcPr>
          <w:p w14:paraId="0CF2749F" w14:textId="77777777" w:rsidR="00483E05" w:rsidRPr="005C0C94" w:rsidRDefault="00483E05" w:rsidP="00752EA7">
            <w:pPr>
              <w:jc w:val="center"/>
              <w:rPr>
                <w:rFonts w:cs="Arial"/>
                <w:b/>
                <w:bCs/>
                <w:color w:val="000000"/>
                <w:sz w:val="20"/>
                <w:szCs w:val="20"/>
                <w:lang w:eastAsia="en-GB"/>
              </w:rPr>
            </w:pPr>
            <w:r w:rsidRPr="005C0C94">
              <w:rPr>
                <w:rFonts w:cs="Arial"/>
                <w:b/>
                <w:bCs/>
                <w:color w:val="000000"/>
                <w:sz w:val="20"/>
                <w:szCs w:val="20"/>
                <w:lang w:eastAsia="en-GB"/>
              </w:rPr>
              <w:t>Performance Indicator</w:t>
            </w:r>
          </w:p>
        </w:tc>
        <w:tc>
          <w:tcPr>
            <w:tcW w:w="992" w:type="dxa"/>
            <w:tcBorders>
              <w:top w:val="single" w:sz="8" w:space="0" w:color="auto"/>
              <w:left w:val="nil"/>
              <w:bottom w:val="single" w:sz="8" w:space="0" w:color="auto"/>
              <w:right w:val="single" w:sz="8" w:space="0" w:color="auto"/>
            </w:tcBorders>
            <w:shd w:val="clear" w:color="000000" w:fill="BFBFBF"/>
            <w:vAlign w:val="center"/>
            <w:hideMark/>
          </w:tcPr>
          <w:p w14:paraId="4C70BF78" w14:textId="005C8789" w:rsidR="00483E05" w:rsidRPr="005C0C94" w:rsidRDefault="00483E05" w:rsidP="00752EA7">
            <w:pPr>
              <w:jc w:val="center"/>
              <w:rPr>
                <w:rFonts w:cs="Arial"/>
                <w:b/>
                <w:bCs/>
                <w:color w:val="000000"/>
                <w:sz w:val="20"/>
                <w:szCs w:val="20"/>
                <w:lang w:eastAsia="en-GB"/>
              </w:rPr>
            </w:pPr>
            <w:r w:rsidRPr="005C0C94">
              <w:rPr>
                <w:rFonts w:cs="Arial"/>
                <w:b/>
                <w:bCs/>
                <w:color w:val="000000"/>
                <w:sz w:val="20"/>
                <w:szCs w:val="20"/>
                <w:lang w:eastAsia="en-GB"/>
              </w:rPr>
              <w:t xml:space="preserve">RBF </w:t>
            </w:r>
            <w:r>
              <w:rPr>
                <w:rFonts w:cs="Arial"/>
                <w:b/>
                <w:bCs/>
                <w:color w:val="000000"/>
                <w:sz w:val="20"/>
                <w:szCs w:val="20"/>
                <w:lang w:eastAsia="en-GB"/>
              </w:rPr>
              <w:t>required</w:t>
            </w:r>
            <w:r w:rsidRPr="005C0C94">
              <w:rPr>
                <w:rFonts w:cs="Arial"/>
                <w:b/>
                <w:bCs/>
                <w:color w:val="000000"/>
                <w:sz w:val="20"/>
                <w:szCs w:val="20"/>
                <w:lang w:eastAsia="en-GB"/>
              </w:rPr>
              <w:t xml:space="preserve"> (y/n)</w:t>
            </w:r>
          </w:p>
        </w:tc>
        <w:tc>
          <w:tcPr>
            <w:tcW w:w="851" w:type="dxa"/>
            <w:tcBorders>
              <w:top w:val="single" w:sz="8" w:space="0" w:color="auto"/>
              <w:left w:val="nil"/>
              <w:bottom w:val="single" w:sz="8" w:space="0" w:color="auto"/>
              <w:right w:val="single" w:sz="8" w:space="0" w:color="auto"/>
            </w:tcBorders>
            <w:shd w:val="clear" w:color="000000" w:fill="BFBFBF"/>
            <w:vAlign w:val="center"/>
            <w:hideMark/>
          </w:tcPr>
          <w:p w14:paraId="1C6E31EB" w14:textId="77777777" w:rsidR="00483E05" w:rsidRPr="005C0C94" w:rsidRDefault="00483E05" w:rsidP="00752EA7">
            <w:pPr>
              <w:jc w:val="center"/>
              <w:rPr>
                <w:rFonts w:cs="Arial"/>
                <w:b/>
                <w:bCs/>
                <w:color w:val="000000"/>
                <w:sz w:val="20"/>
                <w:szCs w:val="20"/>
                <w:lang w:eastAsia="en-GB"/>
              </w:rPr>
            </w:pPr>
            <w:r w:rsidRPr="005C0C94">
              <w:rPr>
                <w:rFonts w:cs="Arial"/>
                <w:b/>
                <w:bCs/>
                <w:color w:val="000000"/>
                <w:sz w:val="20"/>
                <w:szCs w:val="20"/>
                <w:lang w:eastAsia="en-GB"/>
              </w:rPr>
              <w:t>Likely scoring level</w:t>
            </w:r>
          </w:p>
        </w:tc>
        <w:tc>
          <w:tcPr>
            <w:tcW w:w="8204" w:type="dxa"/>
            <w:tcBorders>
              <w:top w:val="single" w:sz="8" w:space="0" w:color="auto"/>
              <w:left w:val="single" w:sz="4" w:space="0" w:color="auto"/>
              <w:bottom w:val="single" w:sz="8" w:space="0" w:color="auto"/>
              <w:right w:val="single" w:sz="8" w:space="0" w:color="auto"/>
            </w:tcBorders>
            <w:shd w:val="clear" w:color="000000" w:fill="BFBFBF"/>
            <w:vAlign w:val="center"/>
            <w:hideMark/>
          </w:tcPr>
          <w:p w14:paraId="4A7DB73F" w14:textId="77777777" w:rsidR="00483E05" w:rsidRPr="005C0C94" w:rsidRDefault="00483E05" w:rsidP="00752EA7">
            <w:pPr>
              <w:jc w:val="center"/>
              <w:rPr>
                <w:rFonts w:cs="Arial"/>
                <w:b/>
                <w:bCs/>
                <w:color w:val="000000"/>
                <w:sz w:val="20"/>
                <w:szCs w:val="20"/>
                <w:lang w:eastAsia="en-GB"/>
              </w:rPr>
            </w:pPr>
            <w:r w:rsidRPr="005C0C94">
              <w:rPr>
                <w:rFonts w:cs="Arial"/>
                <w:b/>
                <w:bCs/>
                <w:color w:val="000000"/>
                <w:sz w:val="20"/>
                <w:szCs w:val="20"/>
                <w:lang w:eastAsia="en-GB"/>
              </w:rPr>
              <w:t>Rationale/ Key points</w:t>
            </w:r>
          </w:p>
        </w:tc>
      </w:tr>
      <w:tr w:rsidR="00FA7D41" w:rsidRPr="005C0C94" w14:paraId="5CD7E6A0" w14:textId="77777777" w:rsidTr="00FF5A54">
        <w:trPr>
          <w:trHeight w:val="540"/>
        </w:trPr>
        <w:tc>
          <w:tcPr>
            <w:tcW w:w="1036" w:type="dxa"/>
            <w:vMerge w:val="restart"/>
            <w:tcBorders>
              <w:top w:val="single" w:sz="4" w:space="0" w:color="auto"/>
              <w:left w:val="single" w:sz="4" w:space="0" w:color="auto"/>
              <w:right w:val="single" w:sz="4" w:space="0" w:color="auto"/>
            </w:tcBorders>
            <w:vAlign w:val="center"/>
          </w:tcPr>
          <w:p w14:paraId="4429EA30" w14:textId="77777777" w:rsidR="00FA7D41" w:rsidRPr="00323770" w:rsidRDefault="00FA7D41" w:rsidP="008F313C">
            <w:pPr>
              <w:jc w:val="center"/>
              <w:rPr>
                <w:rFonts w:cs="Arial"/>
                <w:color w:val="000000"/>
                <w:sz w:val="20"/>
                <w:szCs w:val="20"/>
                <w:lang w:eastAsia="en-GB"/>
              </w:rPr>
            </w:pPr>
            <w:r w:rsidRPr="00323770">
              <w:rPr>
                <w:rFonts w:cs="Arial"/>
                <w:color w:val="000000"/>
                <w:sz w:val="20"/>
                <w:szCs w:val="20"/>
                <w:lang w:eastAsia="en-GB"/>
              </w:rPr>
              <w:t>3</w:t>
            </w:r>
          </w:p>
        </w:tc>
        <w:tc>
          <w:tcPr>
            <w:tcW w:w="1418" w:type="dxa"/>
            <w:vMerge w:val="restart"/>
            <w:tcBorders>
              <w:top w:val="single" w:sz="4" w:space="0" w:color="auto"/>
              <w:left w:val="single" w:sz="4" w:space="0" w:color="auto"/>
              <w:right w:val="single" w:sz="4" w:space="0" w:color="auto"/>
            </w:tcBorders>
            <w:shd w:val="clear" w:color="auto" w:fill="auto"/>
            <w:vAlign w:val="center"/>
          </w:tcPr>
          <w:p w14:paraId="170A19DE" w14:textId="77777777" w:rsidR="00FA7D41" w:rsidRPr="008803A1" w:rsidRDefault="00FA7D41" w:rsidP="002432AC">
            <w:pPr>
              <w:rPr>
                <w:rFonts w:cs="Arial"/>
                <w:color w:val="000000"/>
                <w:sz w:val="20"/>
                <w:szCs w:val="20"/>
                <w:lang w:eastAsia="en-GB"/>
              </w:rPr>
            </w:pPr>
            <w:r w:rsidRPr="008803A1">
              <w:rPr>
                <w:rFonts w:cs="Arial"/>
                <w:color w:val="000000"/>
                <w:sz w:val="20"/>
                <w:szCs w:val="20"/>
                <w:lang w:eastAsia="en-GB"/>
              </w:rPr>
              <w:t>Governance &amp; policy</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98F18BC" w14:textId="77777777" w:rsidR="00FA7D41" w:rsidRPr="008803A1" w:rsidRDefault="00FA7D41" w:rsidP="002432AC">
            <w:pPr>
              <w:rPr>
                <w:rFonts w:cs="Arial"/>
                <w:color w:val="000000"/>
                <w:sz w:val="20"/>
                <w:szCs w:val="20"/>
                <w:lang w:eastAsia="en-GB"/>
              </w:rPr>
            </w:pPr>
            <w:r w:rsidRPr="008803A1">
              <w:rPr>
                <w:sz w:val="20"/>
                <w:lang w:eastAsia="en-GB"/>
              </w:rPr>
              <w:t>3.1.1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1B4E241" w14:textId="77777777" w:rsidR="00FA7D41" w:rsidRPr="008803A1" w:rsidRDefault="00FA7D41" w:rsidP="002432AC">
            <w:pPr>
              <w:rPr>
                <w:rFonts w:cs="Arial"/>
                <w:color w:val="000000"/>
                <w:sz w:val="20"/>
                <w:szCs w:val="20"/>
                <w:lang w:eastAsia="en-GB"/>
              </w:rPr>
            </w:pPr>
            <w:r w:rsidRPr="008803A1">
              <w:rPr>
                <w:sz w:val="20"/>
                <w:lang w:eastAsia="en-GB"/>
              </w:rPr>
              <w:t>Legal and customary framework</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3589821" w14:textId="164405AE"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N</w:t>
            </w:r>
            <w:r w:rsidR="008803A1">
              <w:rPr>
                <w:rFonts w:cs="Arial"/>
                <w:color w:val="000000"/>
                <w:sz w:val="20"/>
                <w:szCs w:val="20"/>
                <w:lang w:eastAsia="en-GB"/>
              </w:rPr>
              <w:t>/</w:t>
            </w:r>
            <w:r w:rsidRPr="00323770">
              <w:rPr>
                <w:rFonts w:cs="Arial"/>
                <w:color w:val="000000"/>
                <w:sz w:val="20"/>
                <w:szCs w:val="20"/>
                <w:lang w:eastAsia="en-GB"/>
              </w:rPr>
              <w:t>A</w:t>
            </w:r>
          </w:p>
        </w:tc>
        <w:tc>
          <w:tcPr>
            <w:tcW w:w="8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48D0EC87" w14:textId="7EC5AC5D" w:rsidR="00FA7D41" w:rsidRPr="00323770" w:rsidRDefault="00FF5A54" w:rsidP="002432AC">
            <w:pPr>
              <w:rPr>
                <w:rFonts w:cs="Arial"/>
                <w:color w:val="000000"/>
                <w:lang w:eastAsia="en-GB"/>
              </w:rPr>
            </w:pPr>
            <w:r w:rsidRPr="00DA4A8C">
              <w:rPr>
                <w:rFonts w:cs="Arial"/>
                <w:color w:val="000000"/>
                <w:lang w:eastAsia="en-GB"/>
              </w:rPr>
              <w:t>≥80</w:t>
            </w:r>
          </w:p>
        </w:tc>
        <w:tc>
          <w:tcPr>
            <w:tcW w:w="8204" w:type="dxa"/>
            <w:tcBorders>
              <w:top w:val="single" w:sz="4" w:space="0" w:color="auto"/>
              <w:left w:val="single" w:sz="4" w:space="0" w:color="auto"/>
              <w:bottom w:val="single" w:sz="4" w:space="0" w:color="auto"/>
              <w:right w:val="single" w:sz="4" w:space="0" w:color="auto"/>
            </w:tcBorders>
            <w:shd w:val="clear" w:color="auto" w:fill="auto"/>
            <w:vAlign w:val="center"/>
          </w:tcPr>
          <w:p w14:paraId="1D07EDE3" w14:textId="77777777" w:rsidR="001F1D8F" w:rsidRDefault="001F1D8F" w:rsidP="002432AC">
            <w:pPr>
              <w:rPr>
                <w:rFonts w:ascii="Calibri" w:hAnsi="Calibri" w:cs="Calibri"/>
                <w:color w:val="000000"/>
                <w:szCs w:val="22"/>
                <w:lang w:eastAsia="en-GB"/>
              </w:rPr>
            </w:pPr>
            <w:r>
              <w:rPr>
                <w:rFonts w:ascii="Calibri" w:hAnsi="Calibri" w:cs="Calibri"/>
                <w:color w:val="000000"/>
                <w:szCs w:val="22"/>
                <w:lang w:eastAsia="en-GB"/>
              </w:rPr>
              <w:t xml:space="preserve">The Western English Channel edible crab fisheries take place exclusively within waters governed by the European Union, within the French and UK EEZs, and within the Territorial Seas of England, France and the Channel Islands.  </w:t>
            </w:r>
          </w:p>
          <w:p w14:paraId="2836F56A" w14:textId="77777777" w:rsidR="001F1D8F" w:rsidRDefault="001F1D8F" w:rsidP="002432AC">
            <w:pPr>
              <w:rPr>
                <w:rFonts w:cs="Arial"/>
                <w:color w:val="000000"/>
                <w:lang w:eastAsia="en-GB"/>
              </w:rPr>
            </w:pPr>
            <w:r w:rsidRPr="00895B33">
              <w:rPr>
                <w:rFonts w:cs="Arial"/>
                <w:color w:val="000000"/>
                <w:lang w:eastAsia="en-GB"/>
              </w:rPr>
              <w:t xml:space="preserve">There is therefore a need in the MSC requirements of both an "effective national legal system" and also "organised and effective cooperation with other parties" (scoring issue a). Effective and organised cooperation within the EU occurs through the Common Fisheries Policy (Regulation (EU) No 1380/2013 of the European Parliament and of the Council of 11 December 2013 on the Common Fisheries Policy). </w:t>
            </w:r>
          </w:p>
          <w:p w14:paraId="620CC4A7" w14:textId="681C3657" w:rsidR="001F1D8F" w:rsidRDefault="001F1D8F" w:rsidP="002432AC">
            <w:pPr>
              <w:rPr>
                <w:rFonts w:cs="Arial"/>
                <w:color w:val="000000"/>
                <w:lang w:eastAsia="en-GB"/>
              </w:rPr>
            </w:pPr>
            <w:r>
              <w:rPr>
                <w:rFonts w:cs="Arial"/>
                <w:color w:val="000000"/>
                <w:lang w:eastAsia="en-GB"/>
              </w:rPr>
              <w:t xml:space="preserve">Management is informed by data collection and stock assessments on the basis of stock units – which in area </w:t>
            </w:r>
            <w:proofErr w:type="spellStart"/>
            <w:r>
              <w:rPr>
                <w:rFonts w:cs="Arial"/>
                <w:color w:val="000000"/>
                <w:lang w:eastAsia="en-GB"/>
              </w:rPr>
              <w:t>VIIe&amp;h</w:t>
            </w:r>
            <w:proofErr w:type="spellEnd"/>
            <w:r>
              <w:rPr>
                <w:rFonts w:cs="Arial"/>
                <w:color w:val="000000"/>
                <w:lang w:eastAsia="en-GB"/>
              </w:rPr>
              <w:t xml:space="preserve"> are organised by Cefas and </w:t>
            </w:r>
            <w:proofErr w:type="spellStart"/>
            <w:r>
              <w:rPr>
                <w:rFonts w:cs="Arial"/>
                <w:color w:val="000000"/>
                <w:lang w:eastAsia="en-GB"/>
              </w:rPr>
              <w:t>Ifremer</w:t>
            </w:r>
            <w:proofErr w:type="spellEnd"/>
            <w:r>
              <w:rPr>
                <w:rFonts w:cs="Arial"/>
                <w:color w:val="000000"/>
                <w:lang w:eastAsia="en-GB"/>
              </w:rPr>
              <w:t>.  S</w:t>
            </w:r>
            <w:r w:rsidRPr="00895B33">
              <w:rPr>
                <w:rFonts w:cs="Arial"/>
                <w:color w:val="000000"/>
                <w:lang w:eastAsia="en-GB"/>
              </w:rPr>
              <w:t>cientists from EU member states collaborate effectively in the provis</w:t>
            </w:r>
            <w:r>
              <w:rPr>
                <w:rFonts w:cs="Arial"/>
                <w:color w:val="000000"/>
                <w:lang w:eastAsia="en-GB"/>
              </w:rPr>
              <w:t>i</w:t>
            </w:r>
            <w:r w:rsidRPr="00895B33">
              <w:rPr>
                <w:rFonts w:cs="Arial"/>
                <w:color w:val="000000"/>
                <w:lang w:eastAsia="en-GB"/>
              </w:rPr>
              <w:t xml:space="preserve">on of </w:t>
            </w:r>
            <w:r>
              <w:rPr>
                <w:rFonts w:cs="Arial"/>
                <w:color w:val="000000"/>
                <w:lang w:eastAsia="en-GB"/>
              </w:rPr>
              <w:t xml:space="preserve">stock and biological information through </w:t>
            </w:r>
            <w:r w:rsidRPr="00895B33">
              <w:rPr>
                <w:rFonts w:cs="Arial"/>
                <w:color w:val="000000"/>
                <w:lang w:eastAsia="en-GB"/>
              </w:rPr>
              <w:t>ICES</w:t>
            </w:r>
            <w:r>
              <w:rPr>
                <w:rFonts w:cs="Arial"/>
                <w:color w:val="000000"/>
                <w:lang w:eastAsia="en-GB"/>
              </w:rPr>
              <w:t xml:space="preserve">, which </w:t>
            </w:r>
            <w:r w:rsidR="00CE326A">
              <w:rPr>
                <w:rFonts w:cs="Arial"/>
                <w:color w:val="000000"/>
                <w:lang w:eastAsia="en-GB"/>
              </w:rPr>
              <w:t>provides oversight in respect of management of crab stocks and exploitation through WGCRAB</w:t>
            </w:r>
            <w:r w:rsidRPr="00895B33">
              <w:rPr>
                <w:rFonts w:cs="Arial"/>
                <w:color w:val="000000"/>
                <w:lang w:eastAsia="en-GB"/>
              </w:rPr>
              <w:t>.</w:t>
            </w:r>
          </w:p>
          <w:p w14:paraId="586E3F0D" w14:textId="1875C0F3" w:rsidR="00CE326A" w:rsidRDefault="00647D1B" w:rsidP="00CE326A">
            <w:pPr>
              <w:rPr>
                <w:rFonts w:cs="Arial"/>
                <w:color w:val="000000"/>
                <w:lang w:eastAsia="en-GB"/>
              </w:rPr>
            </w:pPr>
            <w:r w:rsidRPr="00072676">
              <w:rPr>
                <w:rFonts w:ascii="Calibri" w:hAnsi="Calibri" w:cs="Calibri"/>
                <w:color w:val="000000"/>
                <w:szCs w:val="22"/>
                <w:lang w:eastAsia="en-GB"/>
              </w:rPr>
              <w:t xml:space="preserve">Effective national legal systems </w:t>
            </w:r>
            <w:r w:rsidR="001F1D8F">
              <w:rPr>
                <w:rFonts w:ascii="Calibri" w:hAnsi="Calibri" w:cs="Calibri"/>
                <w:color w:val="000000"/>
                <w:szCs w:val="22"/>
                <w:lang w:eastAsia="en-GB"/>
              </w:rPr>
              <w:t xml:space="preserve">exist </w:t>
            </w:r>
            <w:r w:rsidRPr="00072676">
              <w:rPr>
                <w:rFonts w:ascii="Calibri" w:hAnsi="Calibri" w:cs="Calibri"/>
                <w:color w:val="000000"/>
                <w:szCs w:val="22"/>
                <w:lang w:eastAsia="en-GB"/>
              </w:rPr>
              <w:t>throughout European Member States implementing the CFP. At a European and national level a clear legal process is evident to resolve disputes and observes the legal rights of all UK citizens, including people dependent on fishing.</w:t>
            </w:r>
            <w:r w:rsidR="001F1D8F">
              <w:rPr>
                <w:rFonts w:ascii="Calibri" w:hAnsi="Calibri" w:cs="Calibri"/>
                <w:color w:val="000000"/>
                <w:szCs w:val="22"/>
                <w:lang w:eastAsia="en-GB"/>
              </w:rPr>
              <w:t xml:space="preserve"> </w:t>
            </w:r>
            <w:r w:rsidR="00CE326A" w:rsidRPr="00895B33">
              <w:rPr>
                <w:rFonts w:cs="Arial"/>
                <w:color w:val="000000"/>
                <w:lang w:eastAsia="en-GB"/>
              </w:rPr>
              <w:t xml:space="preserve">At both a national and EU level there is an effective mechanism for the resolution of legal disputes (scoring issue b). </w:t>
            </w:r>
          </w:p>
          <w:p w14:paraId="316AD4D8" w14:textId="77777777" w:rsidR="00E77E1F" w:rsidRDefault="00CE326A" w:rsidP="00E77E1F">
            <w:pPr>
              <w:rPr>
                <w:rFonts w:cs="Arial"/>
                <w:color w:val="000000"/>
                <w:lang w:eastAsia="en-GB"/>
              </w:rPr>
            </w:pPr>
            <w:r w:rsidRPr="00895B33">
              <w:rPr>
                <w:rFonts w:cs="Arial"/>
                <w:color w:val="000000"/>
                <w:lang w:eastAsia="en-GB"/>
              </w:rPr>
              <w:t xml:space="preserve">Within the UK there is an effective national legal system implementing both the CFP and domestic fisheries law. </w:t>
            </w:r>
            <w:r w:rsidR="001F1D8F">
              <w:rPr>
                <w:rFonts w:ascii="Calibri" w:hAnsi="Calibri" w:cs="Calibri"/>
                <w:color w:val="000000"/>
                <w:szCs w:val="22"/>
                <w:lang w:eastAsia="en-GB"/>
              </w:rPr>
              <w:t xml:space="preserve">More local interests are represented in inshore management regimes applying in sea areas out to 6nm from baseline.  Along the English coast within area VIIe these are under the management of the D&amp;C IFCA, the Cornwall IFCA and the </w:t>
            </w:r>
            <w:proofErr w:type="spellStart"/>
            <w:r w:rsidR="001F1D8F">
              <w:rPr>
                <w:rFonts w:ascii="Calibri" w:hAnsi="Calibri" w:cs="Calibri"/>
                <w:color w:val="000000"/>
                <w:szCs w:val="22"/>
                <w:lang w:eastAsia="en-GB"/>
              </w:rPr>
              <w:t>IoS</w:t>
            </w:r>
            <w:proofErr w:type="spellEnd"/>
            <w:r w:rsidR="001F1D8F">
              <w:rPr>
                <w:rFonts w:ascii="Calibri" w:hAnsi="Calibri" w:cs="Calibri"/>
                <w:color w:val="000000"/>
                <w:szCs w:val="22"/>
                <w:lang w:eastAsia="en-GB"/>
              </w:rPr>
              <w:t xml:space="preserve"> IFCA.</w:t>
            </w:r>
            <w:r w:rsidR="00E77E1F">
              <w:rPr>
                <w:rFonts w:cs="Arial"/>
                <w:color w:val="000000"/>
                <w:lang w:eastAsia="en-GB"/>
              </w:rPr>
              <w:t xml:space="preserve"> </w:t>
            </w:r>
          </w:p>
          <w:p w14:paraId="0A823E79" w14:textId="6A74351D" w:rsidR="00E77E1F" w:rsidRDefault="00E77E1F" w:rsidP="00E77E1F">
            <w:pPr>
              <w:rPr>
                <w:rFonts w:cs="Arial"/>
                <w:color w:val="000000"/>
                <w:lang w:eastAsia="en-GB"/>
              </w:rPr>
            </w:pPr>
            <w:r>
              <w:rPr>
                <w:rFonts w:cs="Arial"/>
                <w:color w:val="000000"/>
                <w:lang w:eastAsia="en-GB"/>
              </w:rPr>
              <w:t>N</w:t>
            </w:r>
            <w:r w:rsidRPr="00895B33">
              <w:rPr>
                <w:rFonts w:cs="Arial"/>
                <w:color w:val="000000"/>
                <w:lang w:eastAsia="en-GB"/>
              </w:rPr>
              <w:t>o "rights created explicitly or established by custom of people dependent on fishing for food or liv</w:t>
            </w:r>
            <w:r>
              <w:rPr>
                <w:rFonts w:cs="Arial"/>
                <w:color w:val="000000"/>
                <w:lang w:eastAsia="en-GB"/>
              </w:rPr>
              <w:t>e</w:t>
            </w:r>
            <w:r w:rsidRPr="00895B33">
              <w:rPr>
                <w:rFonts w:cs="Arial"/>
                <w:color w:val="000000"/>
                <w:lang w:eastAsia="en-GB"/>
              </w:rPr>
              <w:t xml:space="preserve">lihood" have been identified (scoring issue c). As a result scoring of this PI is likely to be at the SG80 level or above. </w:t>
            </w:r>
          </w:p>
          <w:p w14:paraId="120ECCEA" w14:textId="7E5085FE" w:rsidR="00895B33" w:rsidRPr="005C0C94" w:rsidRDefault="00895B33" w:rsidP="00895B33">
            <w:pPr>
              <w:rPr>
                <w:rFonts w:cs="Arial"/>
                <w:color w:val="000000"/>
                <w:lang w:eastAsia="en-GB"/>
              </w:rPr>
            </w:pPr>
            <w:r w:rsidRPr="00895B33">
              <w:rPr>
                <w:rFonts w:cs="Arial"/>
                <w:color w:val="000000"/>
                <w:lang w:eastAsia="en-GB"/>
              </w:rPr>
              <w:lastRenderedPageBreak/>
              <w:t xml:space="preserve">The decision of the UK electorate on June 23, 2016 to leave the European Union (i.e. 'Brexit') looks likely to begin a process in which the UK will repeal key EU legislation </w:t>
            </w:r>
            <w:r w:rsidR="00CE326A">
              <w:rPr>
                <w:rFonts w:cs="Arial"/>
                <w:color w:val="000000"/>
                <w:lang w:eastAsia="en-GB"/>
              </w:rPr>
              <w:t>–</w:t>
            </w:r>
            <w:r w:rsidRPr="00895B33">
              <w:rPr>
                <w:rFonts w:cs="Arial"/>
                <w:color w:val="000000"/>
                <w:lang w:eastAsia="en-GB"/>
              </w:rPr>
              <w:t xml:space="preserve"> perhaps including the CFP, subsidiary laws and marine environmental legislation </w:t>
            </w:r>
            <w:r w:rsidR="00CE326A">
              <w:rPr>
                <w:rFonts w:cs="Arial"/>
                <w:color w:val="000000"/>
                <w:lang w:eastAsia="en-GB"/>
              </w:rPr>
              <w:t>–</w:t>
            </w:r>
            <w:r w:rsidRPr="00895B33">
              <w:rPr>
                <w:rFonts w:cs="Arial"/>
                <w:color w:val="000000"/>
                <w:lang w:eastAsia="en-GB"/>
              </w:rPr>
              <w:t xml:space="preserve"> although with the potential to absorb parts of EU legislation directly into UK legislation. Scoring in this pre-assessment is based upon the situation at the time of writing and makes no predictions about how the process will proceed. However, at the time of any full assessment it will be important to demonstrate that there is still "organised and effective cooperation with other parties" to deliver manag</w:t>
            </w:r>
            <w:r>
              <w:rPr>
                <w:rFonts w:cs="Arial"/>
                <w:color w:val="000000"/>
                <w:lang w:eastAsia="en-GB"/>
              </w:rPr>
              <w:t>e</w:t>
            </w:r>
            <w:r w:rsidRPr="00895B33">
              <w:rPr>
                <w:rFonts w:cs="Arial"/>
                <w:color w:val="000000"/>
                <w:lang w:eastAsia="en-GB"/>
              </w:rPr>
              <w:t>ment outcomes consistent with MSC Pri</w:t>
            </w:r>
            <w:r>
              <w:rPr>
                <w:rFonts w:cs="Arial"/>
                <w:color w:val="000000"/>
                <w:lang w:eastAsia="en-GB"/>
              </w:rPr>
              <w:t>n</w:t>
            </w:r>
            <w:r w:rsidRPr="00895B33">
              <w:rPr>
                <w:rFonts w:cs="Arial"/>
                <w:color w:val="000000"/>
                <w:lang w:eastAsia="en-GB"/>
              </w:rPr>
              <w:t>ciples 1 &amp; 2.</w:t>
            </w:r>
          </w:p>
        </w:tc>
      </w:tr>
      <w:tr w:rsidR="00FA7D41" w:rsidRPr="005C0C94" w14:paraId="54152DD5" w14:textId="77777777" w:rsidTr="00FF5A54">
        <w:trPr>
          <w:trHeight w:val="540"/>
        </w:trPr>
        <w:tc>
          <w:tcPr>
            <w:tcW w:w="1036" w:type="dxa"/>
            <w:vMerge/>
            <w:tcBorders>
              <w:left w:val="single" w:sz="4" w:space="0" w:color="auto"/>
              <w:right w:val="single" w:sz="4" w:space="0" w:color="auto"/>
            </w:tcBorders>
          </w:tcPr>
          <w:p w14:paraId="61B77C1D" w14:textId="6DB9FF69" w:rsidR="00FA7D41" w:rsidRPr="00323770" w:rsidRDefault="00FA7D41" w:rsidP="002432AC">
            <w:pPr>
              <w:rPr>
                <w:rFonts w:cs="Arial"/>
                <w:color w:val="000000"/>
                <w:sz w:val="20"/>
                <w:szCs w:val="20"/>
                <w:lang w:eastAsia="en-GB"/>
              </w:rPr>
            </w:pPr>
          </w:p>
        </w:tc>
        <w:tc>
          <w:tcPr>
            <w:tcW w:w="1418" w:type="dxa"/>
            <w:vMerge/>
            <w:tcBorders>
              <w:left w:val="single" w:sz="4" w:space="0" w:color="auto"/>
              <w:right w:val="single" w:sz="4" w:space="0" w:color="auto"/>
            </w:tcBorders>
            <w:shd w:val="clear" w:color="auto" w:fill="auto"/>
            <w:vAlign w:val="center"/>
          </w:tcPr>
          <w:p w14:paraId="57214544" w14:textId="77777777" w:rsidR="00FA7D41" w:rsidRPr="008803A1" w:rsidRDefault="00FA7D41" w:rsidP="002432AC">
            <w:pPr>
              <w:rPr>
                <w:rFonts w:cs="Arial"/>
                <w:color w:val="000000"/>
                <w:sz w:val="20"/>
                <w:szCs w:val="20"/>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26B2EA6" w14:textId="77777777" w:rsidR="00FA7D41" w:rsidRPr="008803A1" w:rsidRDefault="00FA7D41" w:rsidP="002432AC">
            <w:pPr>
              <w:rPr>
                <w:rFonts w:cs="Arial"/>
                <w:color w:val="000000"/>
                <w:sz w:val="20"/>
                <w:szCs w:val="20"/>
                <w:lang w:eastAsia="en-GB"/>
              </w:rPr>
            </w:pPr>
            <w:r w:rsidRPr="008803A1">
              <w:rPr>
                <w:sz w:val="20"/>
                <w:lang w:eastAsia="en-GB"/>
              </w:rPr>
              <w:t>3.1.2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4E97430" w14:textId="77777777" w:rsidR="00FA7D41" w:rsidRPr="008803A1" w:rsidRDefault="00FA7D41" w:rsidP="002432AC">
            <w:pPr>
              <w:rPr>
                <w:rFonts w:cs="Arial"/>
                <w:color w:val="000000"/>
                <w:sz w:val="20"/>
                <w:szCs w:val="20"/>
                <w:lang w:eastAsia="en-GB"/>
              </w:rPr>
            </w:pPr>
            <w:r w:rsidRPr="008803A1">
              <w:rPr>
                <w:sz w:val="20"/>
                <w:lang w:eastAsia="en-GB"/>
              </w:rPr>
              <w:t>Consultation, roles and responsibilities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B1B4622" w14:textId="4A9AA3AD" w:rsidR="00FA7D41" w:rsidRPr="00323770" w:rsidRDefault="00FA7D41" w:rsidP="002432AC">
            <w:pPr>
              <w:rPr>
                <w:rFonts w:cs="Arial"/>
                <w:color w:val="000000"/>
                <w:sz w:val="20"/>
                <w:szCs w:val="20"/>
                <w:lang w:eastAsia="en-GB"/>
              </w:rPr>
            </w:pPr>
            <w:r w:rsidRPr="00323770">
              <w:rPr>
                <w:rFonts w:cs="Arial"/>
                <w:color w:val="000000"/>
                <w:sz w:val="20"/>
                <w:szCs w:val="20"/>
                <w:lang w:eastAsia="en-GB"/>
              </w:rPr>
              <w:t>N</w:t>
            </w:r>
            <w:r w:rsidR="008803A1">
              <w:rPr>
                <w:rFonts w:cs="Arial"/>
                <w:color w:val="000000"/>
                <w:sz w:val="20"/>
                <w:szCs w:val="20"/>
                <w:lang w:eastAsia="en-GB"/>
              </w:rPr>
              <w:t>/</w:t>
            </w:r>
            <w:r w:rsidRPr="00323770">
              <w:rPr>
                <w:rFonts w:cs="Arial"/>
                <w:color w:val="000000"/>
                <w:sz w:val="20"/>
                <w:szCs w:val="20"/>
                <w:lang w:eastAsia="en-GB"/>
              </w:rPr>
              <w:t>A</w:t>
            </w:r>
          </w:p>
        </w:tc>
        <w:tc>
          <w:tcPr>
            <w:tcW w:w="8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005E4106" w14:textId="007270F0" w:rsidR="00FA7D41" w:rsidRPr="00323770" w:rsidRDefault="00FF5A54" w:rsidP="002432AC">
            <w:pPr>
              <w:rPr>
                <w:rFonts w:cs="Arial"/>
                <w:color w:val="000000"/>
                <w:lang w:eastAsia="en-GB"/>
              </w:rPr>
            </w:pPr>
            <w:r w:rsidRPr="00DA4A8C">
              <w:rPr>
                <w:rFonts w:cs="Arial"/>
                <w:color w:val="000000"/>
                <w:lang w:eastAsia="en-GB"/>
              </w:rPr>
              <w:t>≥80</w:t>
            </w:r>
          </w:p>
        </w:tc>
        <w:tc>
          <w:tcPr>
            <w:tcW w:w="8204" w:type="dxa"/>
            <w:tcBorders>
              <w:top w:val="single" w:sz="4" w:space="0" w:color="auto"/>
              <w:left w:val="single" w:sz="4" w:space="0" w:color="auto"/>
              <w:bottom w:val="single" w:sz="4" w:space="0" w:color="auto"/>
              <w:right w:val="single" w:sz="4" w:space="0" w:color="auto"/>
            </w:tcBorders>
            <w:shd w:val="clear" w:color="auto" w:fill="auto"/>
            <w:vAlign w:val="center"/>
          </w:tcPr>
          <w:p w14:paraId="005C24D0" w14:textId="77777777" w:rsidR="00E77E1F" w:rsidRDefault="00E77E1F" w:rsidP="002432AC">
            <w:pPr>
              <w:rPr>
                <w:rFonts w:ascii="Calibri" w:hAnsi="Calibri" w:cs="Calibri"/>
                <w:color w:val="000000"/>
                <w:szCs w:val="22"/>
                <w:lang w:eastAsia="en-GB"/>
              </w:rPr>
            </w:pPr>
            <w:r>
              <w:rPr>
                <w:rFonts w:ascii="Calibri" w:hAnsi="Calibri" w:cs="Calibri"/>
                <w:color w:val="000000"/>
                <w:szCs w:val="22"/>
                <w:lang w:eastAsia="en-GB"/>
              </w:rPr>
              <w:t>These crab fisheries are managed at national and local levels, albeit within a context of collaboration between Member States.  The management unit for stock purposes is the Western English Channel edible crab stock unit, with management from a UK perspective vested in the MMO outside 6nm, and the IFCAs inside 6nm.</w:t>
            </w:r>
          </w:p>
          <w:p w14:paraId="2D9AB720" w14:textId="57C7F10C" w:rsidR="00E77E1F" w:rsidRDefault="00E77E1F" w:rsidP="002432AC">
            <w:pPr>
              <w:rPr>
                <w:rFonts w:ascii="Calibri" w:hAnsi="Calibri" w:cs="Calibri"/>
                <w:color w:val="000000"/>
                <w:szCs w:val="22"/>
                <w:lang w:eastAsia="en-GB"/>
              </w:rPr>
            </w:pPr>
            <w:r>
              <w:rPr>
                <w:rFonts w:ascii="Calibri" w:hAnsi="Calibri" w:cs="Calibri"/>
                <w:color w:val="000000"/>
                <w:szCs w:val="22"/>
                <w:lang w:eastAsia="en-GB"/>
              </w:rPr>
              <w:t>The d</w:t>
            </w:r>
            <w:r w:rsidR="00647D1B" w:rsidRPr="00072676">
              <w:rPr>
                <w:rFonts w:ascii="Calibri" w:hAnsi="Calibri" w:cs="Calibri"/>
                <w:color w:val="000000"/>
                <w:szCs w:val="22"/>
                <w:lang w:eastAsia="en-GB"/>
              </w:rPr>
              <w:t>ivision of responsibility for manag</w:t>
            </w:r>
            <w:r w:rsidR="00647D1B">
              <w:rPr>
                <w:rFonts w:ascii="Calibri" w:hAnsi="Calibri" w:cs="Calibri"/>
                <w:color w:val="000000"/>
                <w:szCs w:val="22"/>
                <w:lang w:eastAsia="en-GB"/>
              </w:rPr>
              <w:t>e</w:t>
            </w:r>
            <w:r w:rsidR="00647D1B" w:rsidRPr="00072676">
              <w:rPr>
                <w:rFonts w:ascii="Calibri" w:hAnsi="Calibri" w:cs="Calibri"/>
                <w:color w:val="000000"/>
                <w:szCs w:val="22"/>
                <w:lang w:eastAsia="en-GB"/>
              </w:rPr>
              <w:t>m</w:t>
            </w:r>
            <w:r w:rsidR="00647D1B">
              <w:rPr>
                <w:rFonts w:ascii="Calibri" w:hAnsi="Calibri" w:cs="Calibri"/>
                <w:color w:val="000000"/>
                <w:szCs w:val="22"/>
                <w:lang w:eastAsia="en-GB"/>
              </w:rPr>
              <w:t>e</w:t>
            </w:r>
            <w:r w:rsidR="00647D1B" w:rsidRPr="00072676">
              <w:rPr>
                <w:rFonts w:ascii="Calibri" w:hAnsi="Calibri" w:cs="Calibri"/>
                <w:color w:val="000000"/>
                <w:szCs w:val="22"/>
                <w:lang w:eastAsia="en-GB"/>
              </w:rPr>
              <w:t>nt of non</w:t>
            </w:r>
            <w:r w:rsidR="00647D1B">
              <w:rPr>
                <w:rFonts w:ascii="Calibri" w:hAnsi="Calibri" w:cs="Calibri"/>
                <w:color w:val="000000"/>
                <w:szCs w:val="22"/>
                <w:lang w:eastAsia="en-GB"/>
              </w:rPr>
              <w:t>-</w:t>
            </w:r>
            <w:r w:rsidR="00647D1B" w:rsidRPr="00072676">
              <w:rPr>
                <w:rFonts w:ascii="Calibri" w:hAnsi="Calibri" w:cs="Calibri"/>
                <w:color w:val="000000"/>
                <w:szCs w:val="22"/>
                <w:lang w:eastAsia="en-GB"/>
              </w:rPr>
              <w:t>quota shellfish</w:t>
            </w:r>
            <w:r>
              <w:rPr>
                <w:rFonts w:ascii="Calibri" w:hAnsi="Calibri" w:cs="Calibri"/>
                <w:color w:val="000000"/>
                <w:szCs w:val="22"/>
                <w:lang w:eastAsia="en-GB"/>
              </w:rPr>
              <w:t>, such as edible crab,</w:t>
            </w:r>
            <w:r w:rsidR="00647D1B" w:rsidRPr="00072676">
              <w:rPr>
                <w:rFonts w:ascii="Calibri" w:hAnsi="Calibri" w:cs="Calibri"/>
                <w:color w:val="000000"/>
                <w:szCs w:val="22"/>
                <w:lang w:eastAsia="en-GB"/>
              </w:rPr>
              <w:t xml:space="preserve"> is poorly defined </w:t>
            </w:r>
            <w:r>
              <w:rPr>
                <w:rFonts w:ascii="Calibri" w:hAnsi="Calibri" w:cs="Calibri"/>
                <w:color w:val="000000"/>
                <w:szCs w:val="22"/>
                <w:lang w:eastAsia="en-GB"/>
              </w:rPr>
              <w:t>–</w:t>
            </w:r>
            <w:r w:rsidR="00647D1B" w:rsidRPr="00072676">
              <w:rPr>
                <w:rFonts w:ascii="Calibri" w:hAnsi="Calibri" w:cs="Calibri"/>
                <w:color w:val="000000"/>
                <w:szCs w:val="22"/>
                <w:lang w:eastAsia="en-GB"/>
              </w:rPr>
              <w:t xml:space="preserve"> both manag</w:t>
            </w:r>
            <w:r w:rsidR="00647D1B">
              <w:rPr>
                <w:rFonts w:ascii="Calibri" w:hAnsi="Calibri" w:cs="Calibri"/>
                <w:color w:val="000000"/>
                <w:szCs w:val="22"/>
                <w:lang w:eastAsia="en-GB"/>
              </w:rPr>
              <w:t>e</w:t>
            </w:r>
            <w:r w:rsidR="00647D1B" w:rsidRPr="00072676">
              <w:rPr>
                <w:rFonts w:ascii="Calibri" w:hAnsi="Calibri" w:cs="Calibri"/>
                <w:color w:val="000000"/>
                <w:szCs w:val="22"/>
                <w:lang w:eastAsia="en-GB"/>
              </w:rPr>
              <w:t xml:space="preserve">ment and science. </w:t>
            </w:r>
            <w:r>
              <w:rPr>
                <w:rFonts w:ascii="Calibri" w:hAnsi="Calibri" w:cs="Calibri"/>
                <w:color w:val="000000"/>
                <w:szCs w:val="22"/>
                <w:lang w:eastAsia="en-GB"/>
              </w:rPr>
              <w:t xml:space="preserve">The </w:t>
            </w:r>
            <w:r w:rsidRPr="00E77E1F">
              <w:rPr>
                <w:rFonts w:ascii="Calibri" w:hAnsi="Calibri" w:cs="Calibri"/>
                <w:color w:val="000000"/>
                <w:szCs w:val="22"/>
                <w:lang w:eastAsia="en-GB"/>
              </w:rPr>
              <w:t>Marine and Coastal Access Act</w:t>
            </w:r>
            <w:r>
              <w:rPr>
                <w:rFonts w:ascii="Calibri" w:hAnsi="Calibri" w:cs="Calibri"/>
                <w:color w:val="000000"/>
                <w:szCs w:val="22"/>
                <w:lang w:eastAsia="en-GB"/>
              </w:rPr>
              <w:t xml:space="preserve"> </w:t>
            </w:r>
            <w:r w:rsidRPr="00E77E1F">
              <w:rPr>
                <w:rFonts w:ascii="Calibri" w:hAnsi="Calibri" w:cs="Calibri"/>
                <w:color w:val="000000"/>
                <w:szCs w:val="22"/>
                <w:lang w:eastAsia="en-GB"/>
              </w:rPr>
              <w:t>2009</w:t>
            </w:r>
            <w:r w:rsidR="00647D1B" w:rsidRPr="00072676">
              <w:rPr>
                <w:rFonts w:ascii="Calibri" w:hAnsi="Calibri" w:cs="Calibri"/>
                <w:color w:val="000000"/>
                <w:szCs w:val="22"/>
                <w:lang w:eastAsia="en-GB"/>
              </w:rPr>
              <w:t xml:space="preserve"> gives joint responsibility</w:t>
            </w:r>
            <w:r>
              <w:rPr>
                <w:rFonts w:ascii="Calibri" w:hAnsi="Calibri" w:cs="Calibri"/>
                <w:color w:val="000000"/>
                <w:szCs w:val="22"/>
                <w:lang w:eastAsia="en-GB"/>
              </w:rPr>
              <w:t xml:space="preserve"> between MMO and IFCAs</w:t>
            </w:r>
            <w:r w:rsidR="00647D1B" w:rsidRPr="00072676">
              <w:rPr>
                <w:rFonts w:ascii="Calibri" w:hAnsi="Calibri" w:cs="Calibri"/>
                <w:color w:val="000000"/>
                <w:szCs w:val="22"/>
                <w:lang w:eastAsia="en-GB"/>
              </w:rPr>
              <w:t xml:space="preserve">. MoUs seek to clarify, but </w:t>
            </w:r>
            <w:r>
              <w:rPr>
                <w:rFonts w:ascii="Calibri" w:hAnsi="Calibri" w:cs="Calibri"/>
                <w:color w:val="000000"/>
                <w:szCs w:val="22"/>
                <w:lang w:eastAsia="en-GB"/>
              </w:rPr>
              <w:t xml:space="preserve">are </w:t>
            </w:r>
            <w:r w:rsidR="00647D1B" w:rsidRPr="00072676">
              <w:rPr>
                <w:rFonts w:ascii="Calibri" w:hAnsi="Calibri" w:cs="Calibri"/>
                <w:color w:val="000000"/>
                <w:szCs w:val="22"/>
                <w:lang w:eastAsia="en-GB"/>
              </w:rPr>
              <w:t>still not explic</w:t>
            </w:r>
            <w:r w:rsidR="00647D1B">
              <w:rPr>
                <w:rFonts w:ascii="Calibri" w:hAnsi="Calibri" w:cs="Calibri"/>
                <w:color w:val="000000"/>
                <w:szCs w:val="22"/>
                <w:lang w:eastAsia="en-GB"/>
              </w:rPr>
              <w:t>i</w:t>
            </w:r>
            <w:r w:rsidR="00647D1B" w:rsidRPr="00072676">
              <w:rPr>
                <w:rFonts w:ascii="Calibri" w:hAnsi="Calibri" w:cs="Calibri"/>
                <w:color w:val="000000"/>
                <w:szCs w:val="22"/>
                <w:lang w:eastAsia="en-GB"/>
              </w:rPr>
              <w:t>t, instead talks in terms of general pr</w:t>
            </w:r>
            <w:r w:rsidR="00647D1B">
              <w:rPr>
                <w:rFonts w:ascii="Calibri" w:hAnsi="Calibri" w:cs="Calibri"/>
                <w:color w:val="000000"/>
                <w:szCs w:val="22"/>
                <w:lang w:eastAsia="en-GB"/>
              </w:rPr>
              <w:t>i</w:t>
            </w:r>
            <w:r w:rsidR="00647D1B" w:rsidRPr="00072676">
              <w:rPr>
                <w:rFonts w:ascii="Calibri" w:hAnsi="Calibri" w:cs="Calibri"/>
                <w:color w:val="000000"/>
                <w:szCs w:val="22"/>
                <w:lang w:eastAsia="en-GB"/>
              </w:rPr>
              <w:t xml:space="preserve">nciples of collaboration &amp; joint working. The MoU recognises that further guidance is necessary. </w:t>
            </w:r>
          </w:p>
          <w:p w14:paraId="70FA98B4" w14:textId="12E92125" w:rsidR="00FA7D41" w:rsidRDefault="00647D1B" w:rsidP="002432AC">
            <w:pPr>
              <w:rPr>
                <w:rFonts w:ascii="Calibri" w:hAnsi="Calibri" w:cs="Calibri"/>
                <w:color w:val="000000"/>
                <w:szCs w:val="22"/>
                <w:lang w:eastAsia="en-GB"/>
              </w:rPr>
            </w:pPr>
            <w:r w:rsidRPr="00072676">
              <w:rPr>
                <w:rFonts w:ascii="Calibri" w:hAnsi="Calibri" w:cs="Calibri"/>
                <w:color w:val="000000"/>
                <w:szCs w:val="22"/>
                <w:lang w:eastAsia="en-GB"/>
              </w:rPr>
              <w:t>Consultation: lack of representation in inshore fisheries has been a historic problem, which makes effective consultation harder. IFCAs are not a statutory c</w:t>
            </w:r>
            <w:r>
              <w:rPr>
                <w:rFonts w:ascii="Calibri" w:hAnsi="Calibri" w:cs="Calibri"/>
                <w:color w:val="000000"/>
                <w:szCs w:val="22"/>
                <w:lang w:eastAsia="en-GB"/>
              </w:rPr>
              <w:t>o</w:t>
            </w:r>
            <w:r w:rsidRPr="00072676">
              <w:rPr>
                <w:rFonts w:ascii="Calibri" w:hAnsi="Calibri" w:cs="Calibri"/>
                <w:color w:val="000000"/>
                <w:szCs w:val="22"/>
                <w:lang w:eastAsia="en-GB"/>
              </w:rPr>
              <w:t xml:space="preserve">nsultee in marine planning applications </w:t>
            </w:r>
            <w:r w:rsidR="00E77E1F">
              <w:rPr>
                <w:rFonts w:ascii="Calibri" w:hAnsi="Calibri" w:cs="Calibri"/>
                <w:color w:val="000000"/>
                <w:szCs w:val="22"/>
                <w:lang w:eastAsia="en-GB"/>
              </w:rPr>
              <w:t>–</w:t>
            </w:r>
            <w:r w:rsidRPr="00072676">
              <w:rPr>
                <w:rFonts w:ascii="Calibri" w:hAnsi="Calibri" w:cs="Calibri"/>
                <w:color w:val="000000"/>
                <w:szCs w:val="22"/>
                <w:lang w:eastAsia="en-GB"/>
              </w:rPr>
              <w:t xml:space="preserve"> </w:t>
            </w:r>
            <w:r w:rsidR="00E77E1F">
              <w:rPr>
                <w:rFonts w:ascii="Calibri" w:hAnsi="Calibri" w:cs="Calibri"/>
                <w:color w:val="000000"/>
                <w:szCs w:val="22"/>
                <w:lang w:eastAsia="en-GB"/>
              </w:rPr>
              <w:t>i</w:t>
            </w:r>
            <w:r w:rsidRPr="00072676">
              <w:rPr>
                <w:rFonts w:ascii="Calibri" w:hAnsi="Calibri" w:cs="Calibri"/>
                <w:color w:val="000000"/>
                <w:szCs w:val="22"/>
                <w:lang w:eastAsia="en-GB"/>
              </w:rPr>
              <w:t>nstead this is MMO, central office.</w:t>
            </w:r>
          </w:p>
          <w:p w14:paraId="2E628BC5" w14:textId="77777777" w:rsidR="007D1121" w:rsidRDefault="00E77E1F" w:rsidP="007D1121">
            <w:pPr>
              <w:rPr>
                <w:rFonts w:cs="Arial"/>
                <w:color w:val="000000"/>
                <w:lang w:eastAsia="en-GB"/>
              </w:rPr>
            </w:pPr>
            <w:r>
              <w:rPr>
                <w:rFonts w:cs="Arial"/>
                <w:color w:val="000000"/>
                <w:lang w:eastAsia="en-GB"/>
              </w:rPr>
              <w:t>Overall e</w:t>
            </w:r>
            <w:r w:rsidR="00895B33" w:rsidRPr="00895B33">
              <w:rPr>
                <w:rFonts w:cs="Arial"/>
                <w:color w:val="000000"/>
                <w:lang w:eastAsia="en-GB"/>
              </w:rPr>
              <w:t xml:space="preserve">nforcement of </w:t>
            </w:r>
            <w:r>
              <w:rPr>
                <w:rFonts w:cs="Arial"/>
                <w:color w:val="000000"/>
                <w:lang w:eastAsia="en-GB"/>
              </w:rPr>
              <w:t>regulations lies w</w:t>
            </w:r>
            <w:r w:rsidR="00895B33" w:rsidRPr="00895B33">
              <w:rPr>
                <w:rFonts w:cs="Arial"/>
                <w:color w:val="000000"/>
                <w:lang w:eastAsia="en-GB"/>
              </w:rPr>
              <w:t>ith the MMO</w:t>
            </w:r>
            <w:r>
              <w:rPr>
                <w:rFonts w:cs="Arial"/>
                <w:color w:val="000000"/>
                <w:lang w:eastAsia="en-GB"/>
              </w:rPr>
              <w:t xml:space="preserve">, and is devolved to the IFCAs inside 6nm.  </w:t>
            </w:r>
            <w:r w:rsidR="00895B33" w:rsidRPr="00895B33">
              <w:rPr>
                <w:rFonts w:cs="Arial"/>
                <w:color w:val="000000"/>
                <w:lang w:eastAsia="en-GB"/>
              </w:rPr>
              <w:t xml:space="preserve"> </w:t>
            </w:r>
          </w:p>
          <w:p w14:paraId="3AF13F46" w14:textId="6C94034D" w:rsidR="00895B33" w:rsidRPr="005C0C94" w:rsidRDefault="00895B33" w:rsidP="007D1121">
            <w:pPr>
              <w:rPr>
                <w:rFonts w:cs="Arial"/>
                <w:color w:val="000000"/>
                <w:lang w:eastAsia="en-GB"/>
              </w:rPr>
            </w:pPr>
            <w:r w:rsidRPr="00895B33">
              <w:rPr>
                <w:rFonts w:cs="Arial"/>
                <w:color w:val="000000"/>
                <w:lang w:eastAsia="en-GB"/>
              </w:rPr>
              <w:t>The process of fisheries representation is well established and represe</w:t>
            </w:r>
            <w:r>
              <w:rPr>
                <w:rFonts w:cs="Arial"/>
                <w:color w:val="000000"/>
                <w:lang w:eastAsia="en-GB"/>
              </w:rPr>
              <w:t>n</w:t>
            </w:r>
            <w:r w:rsidRPr="00895B33">
              <w:rPr>
                <w:rFonts w:cs="Arial"/>
                <w:color w:val="000000"/>
                <w:lang w:eastAsia="en-GB"/>
              </w:rPr>
              <w:t>tative bodies (such as NFFO in England) are formally involved in the consultative processes of management th</w:t>
            </w:r>
            <w:r w:rsidR="007D1121">
              <w:rPr>
                <w:rFonts w:cs="Arial"/>
                <w:color w:val="000000"/>
                <w:lang w:eastAsia="en-GB"/>
              </w:rPr>
              <w:t>r</w:t>
            </w:r>
            <w:r w:rsidRPr="00895B33">
              <w:rPr>
                <w:rFonts w:cs="Arial"/>
                <w:color w:val="000000"/>
                <w:lang w:eastAsia="en-GB"/>
              </w:rPr>
              <w:t xml:space="preserve">ough Regional Advisory Councils (i.e. the </w:t>
            </w:r>
            <w:r w:rsidR="007D1121">
              <w:rPr>
                <w:rFonts w:cs="Arial"/>
                <w:color w:val="000000"/>
                <w:lang w:eastAsia="en-GB"/>
              </w:rPr>
              <w:t xml:space="preserve">Western Waters </w:t>
            </w:r>
            <w:r w:rsidRPr="00895B33">
              <w:rPr>
                <w:rFonts w:cs="Arial"/>
                <w:color w:val="000000"/>
                <w:lang w:eastAsia="en-GB"/>
              </w:rPr>
              <w:t>Advisory Council)</w:t>
            </w:r>
            <w:r w:rsidR="007D1121">
              <w:rPr>
                <w:rFonts w:cs="Arial"/>
                <w:color w:val="000000"/>
                <w:lang w:eastAsia="en-GB"/>
              </w:rPr>
              <w:t xml:space="preserve"> and it and local fishermen’s organisations are represented through the IFCAs</w:t>
            </w:r>
            <w:r w:rsidRPr="00895B33">
              <w:rPr>
                <w:rFonts w:cs="Arial"/>
                <w:color w:val="000000"/>
                <w:lang w:eastAsia="en-GB"/>
              </w:rPr>
              <w:t xml:space="preserve">. </w:t>
            </w:r>
            <w:r w:rsidRPr="00895B33">
              <w:rPr>
                <w:rFonts w:cs="Arial"/>
                <w:color w:val="000000"/>
                <w:lang w:eastAsia="en-GB"/>
              </w:rPr>
              <w:lastRenderedPageBreak/>
              <w:t>There are examples of extensive consultation proces</w:t>
            </w:r>
            <w:r w:rsidR="007D1121">
              <w:rPr>
                <w:rFonts w:cs="Arial"/>
                <w:color w:val="000000"/>
                <w:lang w:eastAsia="en-GB"/>
              </w:rPr>
              <w:t>s</w:t>
            </w:r>
            <w:r w:rsidRPr="00895B33">
              <w:rPr>
                <w:rFonts w:cs="Arial"/>
                <w:color w:val="000000"/>
                <w:lang w:eastAsia="en-GB"/>
              </w:rPr>
              <w:t>es, such as on the latest reform of the CFP</w:t>
            </w:r>
            <w:r w:rsidR="007D1121">
              <w:rPr>
                <w:rFonts w:cs="Arial"/>
                <w:color w:val="000000"/>
                <w:lang w:eastAsia="en-GB"/>
              </w:rPr>
              <w:t>, and the UK establishment of MCZs</w:t>
            </w:r>
            <w:r w:rsidRPr="00895B33">
              <w:rPr>
                <w:rFonts w:cs="Arial"/>
                <w:color w:val="000000"/>
                <w:lang w:eastAsia="en-GB"/>
              </w:rPr>
              <w:t>.</w:t>
            </w:r>
          </w:p>
        </w:tc>
      </w:tr>
      <w:tr w:rsidR="00FA7D41" w:rsidRPr="005C0C94" w14:paraId="5513307C" w14:textId="77777777" w:rsidTr="00FF5A54">
        <w:trPr>
          <w:trHeight w:val="540"/>
        </w:trPr>
        <w:tc>
          <w:tcPr>
            <w:tcW w:w="1036" w:type="dxa"/>
            <w:vMerge/>
            <w:tcBorders>
              <w:left w:val="single" w:sz="4" w:space="0" w:color="auto"/>
              <w:right w:val="single" w:sz="4" w:space="0" w:color="auto"/>
            </w:tcBorders>
          </w:tcPr>
          <w:p w14:paraId="4B8C1E98" w14:textId="69FCF0DD" w:rsidR="00FA7D41" w:rsidRPr="005C0C94" w:rsidRDefault="00FA7D41" w:rsidP="002432AC">
            <w:pPr>
              <w:rPr>
                <w:rFonts w:cs="Arial"/>
                <w:color w:val="000000"/>
                <w:sz w:val="20"/>
                <w:szCs w:val="20"/>
                <w:highlight w:val="yellow"/>
                <w:lang w:eastAsia="en-GB"/>
              </w:rPr>
            </w:pPr>
          </w:p>
        </w:tc>
        <w:tc>
          <w:tcPr>
            <w:tcW w:w="1418" w:type="dxa"/>
            <w:vMerge/>
            <w:tcBorders>
              <w:left w:val="single" w:sz="4" w:space="0" w:color="auto"/>
              <w:right w:val="single" w:sz="4" w:space="0" w:color="auto"/>
            </w:tcBorders>
            <w:shd w:val="clear" w:color="auto" w:fill="auto"/>
            <w:vAlign w:val="center"/>
          </w:tcPr>
          <w:p w14:paraId="597E7B5E" w14:textId="77777777" w:rsidR="00FA7D41" w:rsidRPr="008803A1" w:rsidRDefault="00FA7D41" w:rsidP="002432AC">
            <w:pPr>
              <w:rPr>
                <w:rFonts w:cs="Arial"/>
                <w:color w:val="000000"/>
                <w:sz w:val="20"/>
                <w:szCs w:val="20"/>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44FB04B" w14:textId="77777777" w:rsidR="00FA7D41" w:rsidRPr="008803A1" w:rsidRDefault="00FA7D41" w:rsidP="002432AC">
            <w:pPr>
              <w:rPr>
                <w:rFonts w:cs="Arial"/>
                <w:color w:val="000000"/>
                <w:sz w:val="20"/>
                <w:szCs w:val="20"/>
                <w:lang w:eastAsia="en-GB"/>
              </w:rPr>
            </w:pPr>
            <w:r w:rsidRPr="008803A1">
              <w:rPr>
                <w:sz w:val="20"/>
                <w:lang w:eastAsia="en-GB"/>
              </w:rPr>
              <w:t>3.1.3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02B23B5" w14:textId="77777777" w:rsidR="00FA7D41" w:rsidRPr="008803A1" w:rsidRDefault="00FA7D41" w:rsidP="007D1121">
            <w:pPr>
              <w:jc w:val="left"/>
              <w:rPr>
                <w:rFonts w:cs="Arial"/>
                <w:color w:val="000000"/>
                <w:sz w:val="20"/>
                <w:szCs w:val="20"/>
                <w:lang w:eastAsia="en-GB"/>
              </w:rPr>
            </w:pPr>
            <w:r w:rsidRPr="008803A1">
              <w:rPr>
                <w:sz w:val="20"/>
                <w:lang w:eastAsia="en-GB"/>
              </w:rPr>
              <w:t>Long term objectives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205B742" w14:textId="2985F7EB" w:rsidR="00FA7D41" w:rsidRPr="005C0C94" w:rsidRDefault="00FA7D41" w:rsidP="002432AC">
            <w:pPr>
              <w:rPr>
                <w:rFonts w:cs="Arial"/>
                <w:color w:val="000000"/>
                <w:sz w:val="20"/>
                <w:szCs w:val="20"/>
                <w:lang w:eastAsia="en-GB"/>
              </w:rPr>
            </w:pPr>
            <w:r>
              <w:rPr>
                <w:rFonts w:cs="Arial"/>
                <w:color w:val="000000"/>
                <w:sz w:val="20"/>
                <w:szCs w:val="20"/>
                <w:lang w:eastAsia="en-GB"/>
              </w:rPr>
              <w:t>N</w:t>
            </w:r>
            <w:r w:rsidR="008803A1">
              <w:rPr>
                <w:rFonts w:cs="Arial"/>
                <w:color w:val="000000"/>
                <w:sz w:val="20"/>
                <w:szCs w:val="20"/>
                <w:lang w:eastAsia="en-GB"/>
              </w:rPr>
              <w:t>/</w:t>
            </w:r>
            <w:r>
              <w:rPr>
                <w:rFonts w:cs="Arial"/>
                <w:color w:val="000000"/>
                <w:sz w:val="20"/>
                <w:szCs w:val="20"/>
                <w:lang w:eastAsia="en-GB"/>
              </w:rPr>
              <w:t>A</w:t>
            </w:r>
          </w:p>
        </w:tc>
        <w:tc>
          <w:tcPr>
            <w:tcW w:w="8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60545D61" w14:textId="4163521F" w:rsidR="00FA7D41" w:rsidRPr="005C0C94" w:rsidRDefault="00FF5A54" w:rsidP="002432AC">
            <w:pPr>
              <w:rPr>
                <w:rFonts w:cs="Arial"/>
                <w:color w:val="000000"/>
                <w:lang w:eastAsia="en-GB"/>
              </w:rPr>
            </w:pPr>
            <w:r w:rsidRPr="00DA4A8C">
              <w:rPr>
                <w:rFonts w:cs="Arial"/>
                <w:color w:val="000000"/>
                <w:lang w:eastAsia="en-GB"/>
              </w:rPr>
              <w:t>≥80</w:t>
            </w:r>
          </w:p>
        </w:tc>
        <w:tc>
          <w:tcPr>
            <w:tcW w:w="8204" w:type="dxa"/>
            <w:tcBorders>
              <w:top w:val="single" w:sz="4" w:space="0" w:color="auto"/>
              <w:left w:val="single" w:sz="4" w:space="0" w:color="auto"/>
              <w:bottom w:val="single" w:sz="4" w:space="0" w:color="auto"/>
              <w:right w:val="single" w:sz="4" w:space="0" w:color="auto"/>
            </w:tcBorders>
            <w:shd w:val="clear" w:color="auto" w:fill="auto"/>
            <w:vAlign w:val="center"/>
          </w:tcPr>
          <w:p w14:paraId="7D90B0EC" w14:textId="0D4E4504" w:rsidR="00FA7D41" w:rsidRDefault="00647D1B" w:rsidP="00A2540D">
            <w:pPr>
              <w:rPr>
                <w:rFonts w:ascii="Calibri" w:hAnsi="Calibri" w:cs="Calibri"/>
                <w:color w:val="000000"/>
                <w:szCs w:val="22"/>
                <w:lang w:eastAsia="en-GB"/>
              </w:rPr>
            </w:pPr>
            <w:r w:rsidRPr="00072676">
              <w:rPr>
                <w:rFonts w:ascii="Calibri" w:hAnsi="Calibri" w:cs="Calibri"/>
                <w:color w:val="000000"/>
                <w:szCs w:val="22"/>
                <w:lang w:eastAsia="en-GB"/>
              </w:rPr>
              <w:t>Clear long term objectives consistent with MSC principles and criteria are explicit in management system at EU and UK level. Minister would only sign off on either</w:t>
            </w:r>
            <w:r w:rsidR="00895B33">
              <w:rPr>
                <w:rFonts w:ascii="Calibri" w:hAnsi="Calibri" w:cs="Calibri"/>
                <w:color w:val="000000"/>
                <w:szCs w:val="22"/>
                <w:lang w:eastAsia="en-GB"/>
              </w:rPr>
              <w:t xml:space="preserve"> </w:t>
            </w:r>
            <w:r w:rsidRPr="00072676">
              <w:rPr>
                <w:rFonts w:ascii="Calibri" w:hAnsi="Calibri" w:cs="Calibri"/>
                <w:color w:val="000000"/>
                <w:szCs w:val="22"/>
                <w:lang w:eastAsia="en-GB"/>
              </w:rPr>
              <w:t>a Regulating Order or a byelaw if it is shown to be consistent with national / EU strategies.</w:t>
            </w:r>
          </w:p>
          <w:p w14:paraId="7424DAFF" w14:textId="77777777" w:rsidR="007D1121" w:rsidRDefault="00895B33" w:rsidP="007D1121">
            <w:pPr>
              <w:rPr>
                <w:rFonts w:cs="Arial"/>
                <w:color w:val="000000"/>
                <w:lang w:eastAsia="en-GB"/>
              </w:rPr>
            </w:pPr>
            <w:r w:rsidRPr="00895B33">
              <w:rPr>
                <w:rFonts w:cs="Arial"/>
                <w:color w:val="000000"/>
                <w:lang w:eastAsia="en-GB"/>
              </w:rPr>
              <w:t>This PI seeks to ensure that “Management Policy has clear long-term objectives to guide decision-making that are consistent with MSC fisheries standard and incorporate the precautionary approach”. This PI assesses objectives contained in high level or broader government policy, rather than on fishery specific operational objectives. The overarching objectives which are binding on all subsid</w:t>
            </w:r>
            <w:r>
              <w:rPr>
                <w:rFonts w:cs="Arial"/>
                <w:color w:val="000000"/>
                <w:lang w:eastAsia="en-GB"/>
              </w:rPr>
              <w:t>i</w:t>
            </w:r>
            <w:r w:rsidRPr="00895B33">
              <w:rPr>
                <w:rFonts w:cs="Arial"/>
                <w:color w:val="000000"/>
                <w:lang w:eastAsia="en-GB"/>
              </w:rPr>
              <w:t xml:space="preserve">ary pieces of fisheries legislation are those defined in the EU Common Fisheries Policy Legislation. Article 2 of the CFP legislation sets out these objectives. These are explicit and in line with the MSC Principles &amp; Criteria. </w:t>
            </w:r>
          </w:p>
          <w:p w14:paraId="1F8F3C90" w14:textId="239B6732" w:rsidR="00895B33" w:rsidRPr="005C0C94" w:rsidRDefault="00895B33" w:rsidP="007D1121">
            <w:pPr>
              <w:rPr>
                <w:rFonts w:cs="Arial"/>
                <w:color w:val="000000"/>
                <w:lang w:eastAsia="en-GB"/>
              </w:rPr>
            </w:pPr>
            <w:r w:rsidRPr="00895B33">
              <w:rPr>
                <w:rFonts w:cs="Arial"/>
                <w:color w:val="000000"/>
                <w:lang w:eastAsia="en-GB"/>
              </w:rPr>
              <w:t>There is also explicit mention of the Precautionary Approach and the Ecosystem based approach to fisheries management. At the UK level, the Marine &amp; Coastal Access Act 2009 which establishes the MMO, states that the organisation must operate in accordance with the Government’s principles of sustainable development. In 2009 the UK Government (including the dev</w:t>
            </w:r>
            <w:r>
              <w:rPr>
                <w:rFonts w:cs="Arial"/>
                <w:color w:val="000000"/>
                <w:lang w:eastAsia="en-GB"/>
              </w:rPr>
              <w:t>o</w:t>
            </w:r>
            <w:r w:rsidRPr="00895B33">
              <w:rPr>
                <w:rFonts w:cs="Arial"/>
                <w:color w:val="000000"/>
                <w:lang w:eastAsia="en-GB"/>
              </w:rPr>
              <w:t>lved administrations) published a set of High Level Marine Objectives within “Our Seas: A Shared Resource” which further details these high level objectives. These high level objectives at both an EU and UK wide level which guide management decision making are fully consistent with the MSC fisheries standard and would support scoring at the SG80 level.</w:t>
            </w:r>
          </w:p>
        </w:tc>
      </w:tr>
      <w:tr w:rsidR="00FA7D41" w:rsidRPr="005C0C94" w14:paraId="4038DCEC" w14:textId="77777777" w:rsidTr="00FF5A54">
        <w:trPr>
          <w:trHeight w:val="540"/>
        </w:trPr>
        <w:tc>
          <w:tcPr>
            <w:tcW w:w="1036" w:type="dxa"/>
            <w:vMerge/>
            <w:tcBorders>
              <w:left w:val="single" w:sz="4" w:space="0" w:color="auto"/>
              <w:right w:val="single" w:sz="4" w:space="0" w:color="auto"/>
            </w:tcBorders>
          </w:tcPr>
          <w:p w14:paraId="5C37EC85" w14:textId="77777777" w:rsidR="00FA7D41" w:rsidRPr="005C0C94" w:rsidRDefault="00FA7D41" w:rsidP="002432AC">
            <w:pPr>
              <w:rPr>
                <w:rFonts w:cs="Arial"/>
                <w:color w:val="000000"/>
                <w:sz w:val="20"/>
                <w:szCs w:val="20"/>
                <w:highlight w:val="yellow"/>
                <w:lang w:eastAsia="en-GB"/>
              </w:rPr>
            </w:pPr>
          </w:p>
        </w:tc>
        <w:tc>
          <w:tcPr>
            <w:tcW w:w="1418" w:type="dxa"/>
            <w:vMerge w:val="restart"/>
            <w:tcBorders>
              <w:top w:val="single" w:sz="4" w:space="0" w:color="auto"/>
              <w:left w:val="single" w:sz="4" w:space="0" w:color="auto"/>
              <w:right w:val="single" w:sz="4" w:space="0" w:color="auto"/>
            </w:tcBorders>
            <w:shd w:val="clear" w:color="auto" w:fill="auto"/>
            <w:vAlign w:val="center"/>
          </w:tcPr>
          <w:p w14:paraId="6879A499" w14:textId="77777777" w:rsidR="00FA7D41" w:rsidRPr="008803A1" w:rsidRDefault="00FA7D41" w:rsidP="002432AC">
            <w:pPr>
              <w:rPr>
                <w:rFonts w:cs="Arial"/>
                <w:color w:val="000000"/>
                <w:sz w:val="20"/>
                <w:szCs w:val="20"/>
                <w:lang w:eastAsia="en-GB"/>
              </w:rPr>
            </w:pPr>
            <w:r w:rsidRPr="008803A1">
              <w:rPr>
                <w:rFonts w:cs="Arial"/>
                <w:color w:val="000000"/>
                <w:sz w:val="20"/>
                <w:szCs w:val="20"/>
                <w:lang w:eastAsia="en-GB"/>
              </w:rPr>
              <w:t>Fishery specific management system</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DAC6C35" w14:textId="77777777" w:rsidR="00FA7D41" w:rsidRPr="008803A1" w:rsidRDefault="00FA7D41" w:rsidP="002432AC">
            <w:pPr>
              <w:rPr>
                <w:rFonts w:cs="Arial"/>
                <w:color w:val="000000"/>
                <w:sz w:val="20"/>
                <w:szCs w:val="20"/>
                <w:lang w:eastAsia="en-GB"/>
              </w:rPr>
            </w:pPr>
            <w:r w:rsidRPr="008803A1">
              <w:rPr>
                <w:sz w:val="20"/>
                <w:lang w:eastAsia="en-GB"/>
              </w:rPr>
              <w:t>3.2.1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ABFF2EF" w14:textId="77777777" w:rsidR="00FA7D41" w:rsidRPr="008803A1" w:rsidRDefault="00FA7D41" w:rsidP="002432AC">
            <w:pPr>
              <w:rPr>
                <w:rFonts w:cs="Arial"/>
                <w:color w:val="000000"/>
                <w:sz w:val="20"/>
                <w:szCs w:val="20"/>
                <w:lang w:eastAsia="en-GB"/>
              </w:rPr>
            </w:pPr>
            <w:r w:rsidRPr="008803A1">
              <w:rPr>
                <w:sz w:val="20"/>
                <w:lang w:eastAsia="en-GB"/>
              </w:rPr>
              <w:t>Fishery specific objectives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0D7B82E" w14:textId="1384C492" w:rsidR="00FA7D41" w:rsidRPr="005C0C94" w:rsidRDefault="00FA7D41" w:rsidP="002432AC">
            <w:pPr>
              <w:rPr>
                <w:rFonts w:cs="Arial"/>
                <w:color w:val="000000"/>
                <w:sz w:val="20"/>
                <w:szCs w:val="20"/>
                <w:lang w:eastAsia="en-GB"/>
              </w:rPr>
            </w:pPr>
            <w:r>
              <w:rPr>
                <w:rFonts w:cs="Arial"/>
                <w:color w:val="000000"/>
                <w:sz w:val="20"/>
                <w:szCs w:val="20"/>
                <w:lang w:eastAsia="en-GB"/>
              </w:rPr>
              <w:t>N</w:t>
            </w:r>
            <w:r w:rsidR="008803A1">
              <w:rPr>
                <w:rFonts w:cs="Arial"/>
                <w:color w:val="000000"/>
                <w:sz w:val="20"/>
                <w:szCs w:val="20"/>
                <w:lang w:eastAsia="en-GB"/>
              </w:rPr>
              <w:t>/</w:t>
            </w:r>
            <w:r>
              <w:rPr>
                <w:rFonts w:cs="Arial"/>
                <w:color w:val="000000"/>
                <w:sz w:val="20"/>
                <w:szCs w:val="20"/>
                <w:lang w:eastAsia="en-GB"/>
              </w:rPr>
              <w:t>A</w:t>
            </w:r>
          </w:p>
        </w:tc>
        <w:tc>
          <w:tcPr>
            <w:tcW w:w="85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5EC19234" w14:textId="1A524C2D" w:rsidR="00FA7D41" w:rsidRPr="005C0C94" w:rsidRDefault="00FF5A54" w:rsidP="002432AC">
            <w:pPr>
              <w:rPr>
                <w:rFonts w:cs="Arial"/>
                <w:color w:val="000000"/>
                <w:lang w:eastAsia="en-GB"/>
              </w:rPr>
            </w:pPr>
            <w:r>
              <w:rPr>
                <w:rFonts w:cs="Arial"/>
                <w:color w:val="000000"/>
                <w:lang w:eastAsia="en-GB"/>
              </w:rPr>
              <w:t>60-79</w:t>
            </w:r>
          </w:p>
        </w:tc>
        <w:tc>
          <w:tcPr>
            <w:tcW w:w="8204" w:type="dxa"/>
            <w:tcBorders>
              <w:top w:val="single" w:sz="4" w:space="0" w:color="auto"/>
              <w:left w:val="single" w:sz="4" w:space="0" w:color="auto"/>
              <w:bottom w:val="single" w:sz="4" w:space="0" w:color="auto"/>
              <w:right w:val="single" w:sz="4" w:space="0" w:color="auto"/>
            </w:tcBorders>
            <w:shd w:val="clear" w:color="auto" w:fill="auto"/>
            <w:vAlign w:val="center"/>
          </w:tcPr>
          <w:p w14:paraId="24895418" w14:textId="7C511468" w:rsidR="00FA7D41" w:rsidRPr="007D1121" w:rsidRDefault="00647D1B" w:rsidP="002432AC">
            <w:pPr>
              <w:rPr>
                <w:rFonts w:ascii="Calibri" w:hAnsi="Calibri" w:cs="Calibri"/>
                <w:color w:val="000000"/>
                <w:szCs w:val="22"/>
                <w:lang w:eastAsia="en-GB"/>
              </w:rPr>
            </w:pPr>
            <w:r w:rsidRPr="007D1121">
              <w:rPr>
                <w:rFonts w:ascii="Calibri" w:hAnsi="Calibri" w:cs="Calibri"/>
                <w:color w:val="000000"/>
                <w:szCs w:val="22"/>
                <w:lang w:eastAsia="en-GB"/>
              </w:rPr>
              <w:t>The IFCA byelaw review process, or any new process of byelaw application must go through the process</w:t>
            </w:r>
            <w:r w:rsidR="007D1121" w:rsidRPr="007D1121">
              <w:rPr>
                <w:rFonts w:ascii="Calibri" w:hAnsi="Calibri" w:cs="Calibri"/>
                <w:color w:val="000000"/>
                <w:szCs w:val="22"/>
                <w:lang w:eastAsia="en-GB"/>
              </w:rPr>
              <w:t>e</w:t>
            </w:r>
            <w:r w:rsidRPr="007D1121">
              <w:rPr>
                <w:rFonts w:ascii="Calibri" w:hAnsi="Calibri" w:cs="Calibri"/>
                <w:color w:val="000000"/>
                <w:szCs w:val="22"/>
                <w:lang w:eastAsia="en-GB"/>
              </w:rPr>
              <w:t>s set out in the DEFRA guidance for IFCAs on evidence based marine management.</w:t>
            </w:r>
          </w:p>
          <w:p w14:paraId="4312B865" w14:textId="299C8D61" w:rsidR="00895B33" w:rsidRPr="007D1121" w:rsidRDefault="00AD18DE" w:rsidP="007D1121">
            <w:pPr>
              <w:rPr>
                <w:rFonts w:eastAsia="MS Gothic" w:cs="Meta Offc Pro"/>
                <w:color w:val="211D1E"/>
                <w:sz w:val="20"/>
                <w:szCs w:val="20"/>
              </w:rPr>
            </w:pPr>
            <w:r w:rsidRPr="007D1121">
              <w:rPr>
                <w:rStyle w:val="A5"/>
                <w:rFonts w:eastAsia="MS Gothic"/>
                <w:sz w:val="22"/>
                <w:szCs w:val="22"/>
              </w:rPr>
              <w:t xml:space="preserve">Cefas notes that, “Stock boundaries for edible crab remain poorly understood and both sexes move quite widely at times; females in particular have been shown to travel large </w:t>
            </w:r>
            <w:r w:rsidRPr="007D1121">
              <w:rPr>
                <w:rStyle w:val="A5"/>
                <w:rFonts w:eastAsia="MS Gothic"/>
                <w:sz w:val="22"/>
                <w:szCs w:val="22"/>
              </w:rPr>
              <w:lastRenderedPageBreak/>
              <w:t>distances in relation to spawning activity.” Based on the assessment units, however, collaboration between the relevant IFCAs to develop crab management appears sensible</w:t>
            </w:r>
            <w:r w:rsidR="007D1121" w:rsidRPr="007D1121">
              <w:rPr>
                <w:rStyle w:val="A5"/>
                <w:rFonts w:eastAsia="MS Gothic"/>
                <w:sz w:val="22"/>
                <w:szCs w:val="22"/>
              </w:rPr>
              <w:t xml:space="preserve"> – which have jurisdiction over a significant proportion of activity and exploitation</w:t>
            </w:r>
            <w:r w:rsidRPr="007D1121">
              <w:rPr>
                <w:rStyle w:val="A5"/>
                <w:rFonts w:eastAsia="MS Gothic"/>
                <w:sz w:val="22"/>
                <w:szCs w:val="22"/>
              </w:rPr>
              <w:t>. The extent of the fishery and offshore fishing interests (</w:t>
            </w:r>
            <w:proofErr w:type="spellStart"/>
            <w:r w:rsidRPr="007D1121">
              <w:rPr>
                <w:rStyle w:val="A5"/>
                <w:rFonts w:eastAsia="MS Gothic"/>
                <w:sz w:val="22"/>
                <w:szCs w:val="22"/>
              </w:rPr>
              <w:t>vivier</w:t>
            </w:r>
            <w:proofErr w:type="spellEnd"/>
            <w:r w:rsidRPr="007D1121">
              <w:rPr>
                <w:rStyle w:val="A5"/>
                <w:rFonts w:eastAsia="MS Gothic"/>
                <w:sz w:val="22"/>
                <w:szCs w:val="22"/>
              </w:rPr>
              <w:t xml:space="preserve"> crabbers) suggests some discussion with French and Irish authorities would also be beneficial for </w:t>
            </w:r>
            <w:r w:rsidR="007D1121" w:rsidRPr="007D1121">
              <w:rPr>
                <w:rStyle w:val="A5"/>
                <w:rFonts w:eastAsia="MS Gothic"/>
                <w:sz w:val="22"/>
                <w:szCs w:val="22"/>
              </w:rPr>
              <w:t xml:space="preserve">management of the </w:t>
            </w:r>
            <w:r w:rsidRPr="007D1121">
              <w:rPr>
                <w:rStyle w:val="A5"/>
                <w:rFonts w:eastAsia="MS Gothic"/>
                <w:sz w:val="22"/>
                <w:szCs w:val="22"/>
              </w:rPr>
              <w:t xml:space="preserve">Western </w:t>
            </w:r>
            <w:r w:rsidR="007D1121" w:rsidRPr="007D1121">
              <w:rPr>
                <w:rStyle w:val="A5"/>
                <w:rFonts w:eastAsia="MS Gothic"/>
                <w:sz w:val="22"/>
                <w:szCs w:val="22"/>
              </w:rPr>
              <w:t xml:space="preserve">English </w:t>
            </w:r>
            <w:r w:rsidRPr="007D1121">
              <w:rPr>
                <w:rStyle w:val="A5"/>
                <w:rFonts w:eastAsia="MS Gothic"/>
                <w:sz w:val="22"/>
                <w:szCs w:val="22"/>
              </w:rPr>
              <w:t>Channel stock</w:t>
            </w:r>
            <w:r w:rsidR="007D1121" w:rsidRPr="007D1121">
              <w:rPr>
                <w:rStyle w:val="A5"/>
                <w:rFonts w:eastAsia="MS Gothic"/>
                <w:sz w:val="22"/>
                <w:szCs w:val="22"/>
              </w:rPr>
              <w:t xml:space="preserve"> unit</w:t>
            </w:r>
            <w:r w:rsidRPr="007D1121">
              <w:rPr>
                <w:rStyle w:val="A5"/>
                <w:rFonts w:eastAsia="MS Gothic"/>
                <w:sz w:val="22"/>
                <w:szCs w:val="22"/>
              </w:rPr>
              <w:t>.</w:t>
            </w:r>
          </w:p>
        </w:tc>
      </w:tr>
      <w:tr w:rsidR="00FA7D41" w:rsidRPr="005C0C94" w14:paraId="4C540784" w14:textId="77777777" w:rsidTr="00FF5A54">
        <w:trPr>
          <w:trHeight w:val="540"/>
        </w:trPr>
        <w:tc>
          <w:tcPr>
            <w:tcW w:w="1036" w:type="dxa"/>
            <w:vMerge/>
            <w:tcBorders>
              <w:left w:val="single" w:sz="4" w:space="0" w:color="auto"/>
              <w:right w:val="single" w:sz="4" w:space="0" w:color="auto"/>
            </w:tcBorders>
          </w:tcPr>
          <w:p w14:paraId="60802898" w14:textId="77777777" w:rsidR="00FA7D41" w:rsidRPr="005C0C94" w:rsidRDefault="00FA7D41" w:rsidP="002432AC">
            <w:pPr>
              <w:rPr>
                <w:rFonts w:cs="Arial"/>
                <w:color w:val="000000"/>
                <w:sz w:val="20"/>
                <w:szCs w:val="20"/>
                <w:highlight w:val="yellow"/>
                <w:lang w:eastAsia="en-GB"/>
              </w:rPr>
            </w:pPr>
          </w:p>
        </w:tc>
        <w:tc>
          <w:tcPr>
            <w:tcW w:w="1418" w:type="dxa"/>
            <w:vMerge/>
            <w:tcBorders>
              <w:left w:val="single" w:sz="4" w:space="0" w:color="auto"/>
              <w:right w:val="single" w:sz="4" w:space="0" w:color="auto"/>
            </w:tcBorders>
            <w:shd w:val="clear" w:color="auto" w:fill="auto"/>
            <w:vAlign w:val="center"/>
          </w:tcPr>
          <w:p w14:paraId="2FA22769" w14:textId="77777777" w:rsidR="00FA7D41" w:rsidRPr="008803A1" w:rsidRDefault="00FA7D41" w:rsidP="002432AC">
            <w:pPr>
              <w:rPr>
                <w:rFonts w:cs="Arial"/>
                <w:color w:val="000000"/>
                <w:sz w:val="20"/>
                <w:szCs w:val="20"/>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ACEB8F7" w14:textId="77777777" w:rsidR="00FA7D41" w:rsidRPr="008803A1" w:rsidRDefault="00FA7D41" w:rsidP="002432AC">
            <w:pPr>
              <w:rPr>
                <w:rFonts w:cs="Arial"/>
                <w:color w:val="000000"/>
                <w:sz w:val="20"/>
                <w:szCs w:val="20"/>
                <w:lang w:eastAsia="en-GB"/>
              </w:rPr>
            </w:pPr>
            <w:r w:rsidRPr="008803A1">
              <w:rPr>
                <w:sz w:val="20"/>
                <w:lang w:eastAsia="en-GB"/>
              </w:rPr>
              <w:t>3.2.2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79AC30E" w14:textId="77777777" w:rsidR="00FA7D41" w:rsidRPr="008803A1" w:rsidRDefault="00FA7D41" w:rsidP="002432AC">
            <w:pPr>
              <w:rPr>
                <w:rFonts w:cs="Arial"/>
                <w:color w:val="000000"/>
                <w:sz w:val="20"/>
                <w:szCs w:val="20"/>
                <w:lang w:eastAsia="en-GB"/>
              </w:rPr>
            </w:pPr>
            <w:r w:rsidRPr="008803A1">
              <w:rPr>
                <w:sz w:val="20"/>
                <w:lang w:eastAsia="en-GB"/>
              </w:rPr>
              <w:t>Decision making processes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739DC82" w14:textId="6775D27A" w:rsidR="00FA7D41" w:rsidRPr="005C0C94" w:rsidRDefault="00FA7D41" w:rsidP="002432AC">
            <w:pPr>
              <w:rPr>
                <w:rFonts w:cs="Arial"/>
                <w:color w:val="000000"/>
                <w:sz w:val="20"/>
                <w:szCs w:val="20"/>
                <w:lang w:eastAsia="en-GB"/>
              </w:rPr>
            </w:pPr>
            <w:r>
              <w:rPr>
                <w:rFonts w:cs="Arial"/>
                <w:color w:val="000000"/>
                <w:sz w:val="20"/>
                <w:szCs w:val="20"/>
                <w:lang w:eastAsia="en-GB"/>
              </w:rPr>
              <w:t>N</w:t>
            </w:r>
            <w:r w:rsidR="008803A1">
              <w:rPr>
                <w:rFonts w:cs="Arial"/>
                <w:color w:val="000000"/>
                <w:sz w:val="20"/>
                <w:szCs w:val="20"/>
                <w:lang w:eastAsia="en-GB"/>
              </w:rPr>
              <w:t>/</w:t>
            </w:r>
            <w:r>
              <w:rPr>
                <w:rFonts w:cs="Arial"/>
                <w:color w:val="000000"/>
                <w:sz w:val="20"/>
                <w:szCs w:val="20"/>
                <w:lang w:eastAsia="en-GB"/>
              </w:rPr>
              <w:t>A</w:t>
            </w:r>
          </w:p>
        </w:tc>
        <w:tc>
          <w:tcPr>
            <w:tcW w:w="8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41CD3AB2" w14:textId="3328BC05" w:rsidR="00FA7D41" w:rsidRPr="005C0C94" w:rsidRDefault="00FF5A54" w:rsidP="002432AC">
            <w:pPr>
              <w:rPr>
                <w:rFonts w:cs="Arial"/>
                <w:color w:val="000000"/>
                <w:lang w:eastAsia="en-GB"/>
              </w:rPr>
            </w:pPr>
            <w:r w:rsidRPr="00DA4A8C">
              <w:rPr>
                <w:rFonts w:cs="Arial"/>
                <w:color w:val="000000"/>
                <w:lang w:eastAsia="en-GB"/>
              </w:rPr>
              <w:t>≥80</w:t>
            </w:r>
          </w:p>
        </w:tc>
        <w:tc>
          <w:tcPr>
            <w:tcW w:w="8204" w:type="dxa"/>
            <w:tcBorders>
              <w:top w:val="single" w:sz="4" w:space="0" w:color="auto"/>
              <w:left w:val="single" w:sz="4" w:space="0" w:color="auto"/>
              <w:bottom w:val="single" w:sz="4" w:space="0" w:color="auto"/>
              <w:right w:val="single" w:sz="4" w:space="0" w:color="auto"/>
            </w:tcBorders>
            <w:shd w:val="clear" w:color="auto" w:fill="auto"/>
            <w:vAlign w:val="center"/>
          </w:tcPr>
          <w:p w14:paraId="23E45BBE" w14:textId="1934DE8C" w:rsidR="00C724DB" w:rsidRPr="00C724DB" w:rsidRDefault="007D1121" w:rsidP="001F4D10">
            <w:pPr>
              <w:rPr>
                <w:rStyle w:val="A5"/>
                <w:rFonts w:eastAsia="MS Gothic"/>
                <w:sz w:val="22"/>
                <w:szCs w:val="22"/>
              </w:rPr>
            </w:pPr>
            <w:r w:rsidRPr="00C724DB">
              <w:rPr>
                <w:rStyle w:val="A5"/>
                <w:rFonts w:eastAsia="MS Gothic"/>
                <w:sz w:val="22"/>
                <w:szCs w:val="22"/>
              </w:rPr>
              <w:t xml:space="preserve">As indicated above, Cefas notes that “Stock boundaries for edible crab remain poorly understood and both sexes move quite widely at times; females in particular have been shown to travel large distances in relation to spawning activity.” </w:t>
            </w:r>
            <w:r w:rsidR="00C724DB" w:rsidRPr="00C724DB">
              <w:rPr>
                <w:rStyle w:val="A5"/>
                <w:rFonts w:eastAsia="MS Gothic"/>
                <w:sz w:val="22"/>
                <w:szCs w:val="22"/>
              </w:rPr>
              <w:t xml:space="preserve"> </w:t>
            </w:r>
            <w:r w:rsidRPr="00C724DB">
              <w:rPr>
                <w:rStyle w:val="A5"/>
                <w:rFonts w:eastAsia="MS Gothic"/>
                <w:sz w:val="22"/>
                <w:szCs w:val="22"/>
              </w:rPr>
              <w:t xml:space="preserve">It is also the case that management of fishing activity is primarily conducted locally, albeit within an overall UK and EU framework.  </w:t>
            </w:r>
          </w:p>
          <w:p w14:paraId="7951A5D6" w14:textId="1C48E723" w:rsidR="00895B33" w:rsidRPr="00C724DB" w:rsidRDefault="00C724DB" w:rsidP="001F4D10">
            <w:pPr>
              <w:rPr>
                <w:rFonts w:ascii="Calibri" w:hAnsi="Calibri" w:cs="Calibri"/>
                <w:color w:val="000000"/>
                <w:szCs w:val="22"/>
                <w:lang w:eastAsia="en-GB"/>
              </w:rPr>
            </w:pPr>
            <w:r w:rsidRPr="00C724DB">
              <w:rPr>
                <w:rFonts w:ascii="Calibri" w:hAnsi="Calibri" w:cs="Calibri"/>
                <w:color w:val="000000"/>
                <w:szCs w:val="22"/>
                <w:lang w:eastAsia="en-GB"/>
              </w:rPr>
              <w:t>Decision-making is achieved at a national level through the MMO, with significant professional inputs from the research laboratories (Cefas with respect to England and Wales), the Shellfish Committee of the Shellfish Association of Great Britain (SAGB), the Shellfish Committee of the Seafish Industry Authority, the IFCAs (England and Wales) and Inshore Fisheries Groups (Scotland), and Fishermen’s Organisations and Producer Organisations</w:t>
            </w:r>
            <w:r>
              <w:rPr>
                <w:rFonts w:ascii="Calibri" w:hAnsi="Calibri" w:cs="Calibri"/>
                <w:color w:val="000000"/>
                <w:szCs w:val="22"/>
                <w:lang w:eastAsia="en-GB"/>
              </w:rPr>
              <w:t>.</w:t>
            </w:r>
          </w:p>
        </w:tc>
      </w:tr>
      <w:tr w:rsidR="00FA7D41" w:rsidRPr="005C0C94" w14:paraId="7A454786" w14:textId="77777777" w:rsidTr="00FF5A54">
        <w:trPr>
          <w:trHeight w:val="540"/>
        </w:trPr>
        <w:tc>
          <w:tcPr>
            <w:tcW w:w="1036" w:type="dxa"/>
            <w:vMerge/>
            <w:tcBorders>
              <w:left w:val="single" w:sz="4" w:space="0" w:color="auto"/>
              <w:right w:val="single" w:sz="4" w:space="0" w:color="auto"/>
            </w:tcBorders>
          </w:tcPr>
          <w:p w14:paraId="4EB127B2" w14:textId="1FCBC316" w:rsidR="00FA7D41" w:rsidRPr="005C0C94" w:rsidRDefault="00FA7D41" w:rsidP="002432AC">
            <w:pPr>
              <w:rPr>
                <w:rFonts w:cs="Arial"/>
                <w:color w:val="000000"/>
                <w:sz w:val="20"/>
                <w:szCs w:val="20"/>
                <w:lang w:eastAsia="en-GB"/>
              </w:rPr>
            </w:pPr>
          </w:p>
        </w:tc>
        <w:tc>
          <w:tcPr>
            <w:tcW w:w="1418" w:type="dxa"/>
            <w:vMerge/>
            <w:tcBorders>
              <w:left w:val="single" w:sz="4" w:space="0" w:color="auto"/>
              <w:right w:val="single" w:sz="4" w:space="0" w:color="auto"/>
            </w:tcBorders>
            <w:shd w:val="clear" w:color="auto" w:fill="auto"/>
            <w:vAlign w:val="center"/>
          </w:tcPr>
          <w:p w14:paraId="7D4CC235" w14:textId="77777777" w:rsidR="00FA7D41" w:rsidRPr="008803A1" w:rsidRDefault="00FA7D41" w:rsidP="002432AC">
            <w:pPr>
              <w:rPr>
                <w:rFonts w:cs="Arial"/>
                <w:color w:val="000000"/>
                <w:sz w:val="20"/>
                <w:szCs w:val="20"/>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4C376B3" w14:textId="77777777" w:rsidR="00FA7D41" w:rsidRPr="008803A1" w:rsidRDefault="00FA7D41" w:rsidP="002432AC">
            <w:pPr>
              <w:rPr>
                <w:rFonts w:cs="Arial"/>
                <w:color w:val="000000"/>
                <w:sz w:val="20"/>
                <w:szCs w:val="20"/>
                <w:lang w:eastAsia="en-GB"/>
              </w:rPr>
            </w:pPr>
            <w:r w:rsidRPr="008803A1">
              <w:rPr>
                <w:sz w:val="20"/>
                <w:lang w:eastAsia="en-GB"/>
              </w:rPr>
              <w:t>3.2.3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9AD65DA" w14:textId="77777777" w:rsidR="00FA7D41" w:rsidRPr="008803A1" w:rsidRDefault="00FA7D41" w:rsidP="002432AC">
            <w:pPr>
              <w:rPr>
                <w:rFonts w:cs="Arial"/>
                <w:color w:val="000000"/>
                <w:sz w:val="20"/>
                <w:szCs w:val="20"/>
                <w:lang w:eastAsia="en-GB"/>
              </w:rPr>
            </w:pPr>
            <w:r w:rsidRPr="008803A1">
              <w:rPr>
                <w:sz w:val="20"/>
                <w:lang w:eastAsia="en-GB"/>
              </w:rPr>
              <w:t>Compliance and enforcement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C293834" w14:textId="2E18906D" w:rsidR="00FA7D41" w:rsidRPr="005C0C94" w:rsidRDefault="00FA7D41" w:rsidP="002432AC">
            <w:pPr>
              <w:rPr>
                <w:rFonts w:cs="Arial"/>
                <w:color w:val="000000"/>
                <w:sz w:val="20"/>
                <w:szCs w:val="20"/>
                <w:lang w:eastAsia="en-GB"/>
              </w:rPr>
            </w:pPr>
            <w:r>
              <w:rPr>
                <w:rFonts w:cs="Arial"/>
                <w:color w:val="000000"/>
                <w:sz w:val="20"/>
                <w:szCs w:val="20"/>
                <w:lang w:eastAsia="en-GB"/>
              </w:rPr>
              <w:t>N</w:t>
            </w:r>
            <w:r w:rsidR="008803A1">
              <w:rPr>
                <w:rFonts w:cs="Arial"/>
                <w:color w:val="000000"/>
                <w:sz w:val="20"/>
                <w:szCs w:val="20"/>
                <w:lang w:eastAsia="en-GB"/>
              </w:rPr>
              <w:t>/</w:t>
            </w:r>
            <w:r>
              <w:rPr>
                <w:rFonts w:cs="Arial"/>
                <w:color w:val="000000"/>
                <w:sz w:val="20"/>
                <w:szCs w:val="20"/>
                <w:lang w:eastAsia="en-GB"/>
              </w:rPr>
              <w:t>A</w:t>
            </w:r>
          </w:p>
        </w:tc>
        <w:tc>
          <w:tcPr>
            <w:tcW w:w="8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045E2532" w14:textId="3CB82A61" w:rsidR="00FA7D41" w:rsidRPr="005C0C94" w:rsidRDefault="00FF5A54" w:rsidP="002432AC">
            <w:pPr>
              <w:rPr>
                <w:rFonts w:cs="Arial"/>
                <w:color w:val="000000"/>
                <w:lang w:eastAsia="en-GB"/>
              </w:rPr>
            </w:pPr>
            <w:r w:rsidRPr="00DA4A8C">
              <w:rPr>
                <w:rFonts w:cs="Arial"/>
                <w:color w:val="000000"/>
                <w:lang w:eastAsia="en-GB"/>
              </w:rPr>
              <w:t>≥80</w:t>
            </w:r>
          </w:p>
        </w:tc>
        <w:tc>
          <w:tcPr>
            <w:tcW w:w="8204" w:type="dxa"/>
            <w:tcBorders>
              <w:top w:val="single" w:sz="4" w:space="0" w:color="auto"/>
              <w:left w:val="single" w:sz="4" w:space="0" w:color="auto"/>
              <w:bottom w:val="single" w:sz="4" w:space="0" w:color="auto"/>
              <w:right w:val="single" w:sz="4" w:space="0" w:color="auto"/>
            </w:tcBorders>
            <w:shd w:val="clear" w:color="auto" w:fill="auto"/>
            <w:vAlign w:val="center"/>
          </w:tcPr>
          <w:p w14:paraId="56593500" w14:textId="43DFFA4D" w:rsidR="003E08F3" w:rsidRDefault="00901945" w:rsidP="00901945">
            <w:pPr>
              <w:rPr>
                <w:rFonts w:ascii="Calibri" w:hAnsi="Calibri" w:cs="Calibri"/>
                <w:color w:val="000000"/>
                <w:szCs w:val="22"/>
                <w:lang w:eastAsia="en-GB"/>
              </w:rPr>
            </w:pPr>
            <w:r>
              <w:rPr>
                <w:rFonts w:ascii="Calibri" w:hAnsi="Calibri" w:cs="Calibri"/>
                <w:color w:val="000000"/>
                <w:szCs w:val="22"/>
                <w:lang w:eastAsia="en-GB"/>
              </w:rPr>
              <w:t xml:space="preserve">Compliance is </w:t>
            </w:r>
            <w:r w:rsidR="003E08F3">
              <w:rPr>
                <w:rFonts w:ascii="Calibri" w:hAnsi="Calibri" w:cs="Calibri"/>
                <w:color w:val="000000"/>
                <w:szCs w:val="22"/>
                <w:lang w:eastAsia="en-GB"/>
              </w:rPr>
              <w:t xml:space="preserve">good but </w:t>
            </w:r>
            <w:r>
              <w:rPr>
                <w:rFonts w:ascii="Calibri" w:hAnsi="Calibri" w:cs="Calibri"/>
                <w:color w:val="000000"/>
                <w:szCs w:val="22"/>
                <w:lang w:eastAsia="en-GB"/>
              </w:rPr>
              <w:t>variable</w:t>
            </w:r>
            <w:r w:rsidR="003E08F3">
              <w:rPr>
                <w:rFonts w:ascii="Calibri" w:hAnsi="Calibri" w:cs="Calibri"/>
                <w:color w:val="000000"/>
                <w:szCs w:val="22"/>
                <w:lang w:eastAsia="en-GB"/>
              </w:rPr>
              <w:t>.  Monitoring and surveillance systems are well established and functioning well</w:t>
            </w:r>
            <w:r w:rsidR="00B0699E">
              <w:rPr>
                <w:rFonts w:ascii="Calibri" w:hAnsi="Calibri" w:cs="Calibri"/>
                <w:color w:val="000000"/>
                <w:szCs w:val="22"/>
                <w:lang w:eastAsia="en-GB"/>
              </w:rPr>
              <w:t xml:space="preserve"> – to the limits of their design and available resources (given that there are no formal limits to the number of pots that can be fished by a vessel, and minimal controls on the minimum or maximum days a vessel can operate in a year.)</w:t>
            </w:r>
          </w:p>
          <w:p w14:paraId="04DABD4E" w14:textId="0045562D" w:rsidR="00901945" w:rsidRDefault="00B0699E" w:rsidP="00901945">
            <w:pPr>
              <w:rPr>
                <w:rFonts w:ascii="Calibri" w:hAnsi="Calibri" w:cs="Calibri"/>
                <w:color w:val="000000"/>
                <w:szCs w:val="22"/>
                <w:lang w:eastAsia="en-GB"/>
              </w:rPr>
            </w:pPr>
            <w:r>
              <w:rPr>
                <w:rFonts w:ascii="Calibri" w:hAnsi="Calibri" w:cs="Calibri"/>
                <w:color w:val="000000"/>
                <w:szCs w:val="22"/>
                <w:lang w:eastAsia="en-GB"/>
              </w:rPr>
              <w:t>K</w:t>
            </w:r>
            <w:r w:rsidR="00901945">
              <w:rPr>
                <w:rFonts w:ascii="Calibri" w:hAnsi="Calibri" w:cs="Calibri"/>
                <w:color w:val="000000"/>
                <w:szCs w:val="22"/>
                <w:lang w:eastAsia="en-GB"/>
              </w:rPr>
              <w:t>ey controls compris</w:t>
            </w:r>
            <w:r>
              <w:rPr>
                <w:rFonts w:ascii="Calibri" w:hAnsi="Calibri" w:cs="Calibri"/>
                <w:color w:val="000000"/>
                <w:szCs w:val="22"/>
                <w:lang w:eastAsia="en-GB"/>
              </w:rPr>
              <w:t>e</w:t>
            </w:r>
            <w:r w:rsidR="00901945">
              <w:rPr>
                <w:rFonts w:ascii="Calibri" w:hAnsi="Calibri" w:cs="Calibri"/>
                <w:color w:val="000000"/>
                <w:szCs w:val="22"/>
                <w:lang w:eastAsia="en-GB"/>
              </w:rPr>
              <w:t xml:space="preserve"> effort limitations under the EU Western Waters regime, variable access rules between IFCAs (including a permit scheme run by Cornwall IFCA) and applying to specific management areas (Start Point Inshore Potting Agreement; designated conservation areas), and technical measures (</w:t>
            </w:r>
            <w:r>
              <w:rPr>
                <w:rFonts w:ascii="Calibri" w:hAnsi="Calibri" w:cs="Calibri"/>
                <w:color w:val="000000"/>
                <w:szCs w:val="22"/>
                <w:lang w:eastAsia="en-GB"/>
              </w:rPr>
              <w:t xml:space="preserve">primarily </w:t>
            </w:r>
            <w:r w:rsidR="00901945">
              <w:rPr>
                <w:rFonts w:ascii="Calibri" w:hAnsi="Calibri" w:cs="Calibri"/>
                <w:color w:val="000000"/>
                <w:szCs w:val="22"/>
                <w:lang w:eastAsia="en-GB"/>
              </w:rPr>
              <w:t>minimum landing sizes – not</w:t>
            </w:r>
            <w:r>
              <w:rPr>
                <w:rFonts w:ascii="Calibri" w:hAnsi="Calibri" w:cs="Calibri"/>
                <w:color w:val="000000"/>
                <w:szCs w:val="22"/>
                <w:lang w:eastAsia="en-GB"/>
              </w:rPr>
              <w:t>ing</w:t>
            </w:r>
            <w:r w:rsidR="00901945">
              <w:rPr>
                <w:rFonts w:ascii="Calibri" w:hAnsi="Calibri" w:cs="Calibri"/>
                <w:color w:val="000000"/>
                <w:szCs w:val="22"/>
                <w:lang w:eastAsia="en-GB"/>
              </w:rPr>
              <w:t xml:space="preserve"> that there are some differences between IFCAs).</w:t>
            </w:r>
          </w:p>
          <w:p w14:paraId="2AC59DD9" w14:textId="6ACCB667" w:rsidR="00FA7D41" w:rsidRPr="007B073D" w:rsidRDefault="003E08F3" w:rsidP="00F909EF">
            <w:pPr>
              <w:rPr>
                <w:rFonts w:ascii="Calibri" w:hAnsi="Calibri" w:cs="Calibri"/>
                <w:color w:val="000000"/>
                <w:szCs w:val="22"/>
                <w:lang w:eastAsia="en-GB"/>
              </w:rPr>
            </w:pPr>
            <w:r>
              <w:rPr>
                <w:rFonts w:ascii="Calibri" w:hAnsi="Calibri" w:cs="Calibri"/>
                <w:color w:val="000000"/>
                <w:szCs w:val="22"/>
                <w:lang w:eastAsia="en-GB"/>
              </w:rPr>
              <w:lastRenderedPageBreak/>
              <w:t>Enforcement is exercised through the submission of landings data under the Buyers and Sellers Regulation, at sea observation and occasional at sea inspections (by IFCAs, and by the Sea Fisheries Inspectorate and the Royal Navy)</w:t>
            </w:r>
            <w:r w:rsidR="00901945">
              <w:rPr>
                <w:rFonts w:ascii="Calibri" w:hAnsi="Calibri" w:cs="Calibri"/>
                <w:color w:val="000000"/>
                <w:szCs w:val="22"/>
                <w:lang w:eastAsia="en-GB"/>
              </w:rPr>
              <w:t xml:space="preserve">, </w:t>
            </w:r>
            <w:r>
              <w:rPr>
                <w:rFonts w:ascii="Calibri" w:hAnsi="Calibri" w:cs="Calibri"/>
                <w:color w:val="000000"/>
                <w:szCs w:val="22"/>
                <w:lang w:eastAsia="en-GB"/>
              </w:rPr>
              <w:t>and market / trader inspections.  Larger vessels – over-15m by law, moving to over-12m by law – are required to carry satellite mediated vessel monitoring systems.  Smaller vessels are being encouraged to carry inshore (VH</w:t>
            </w:r>
            <w:r w:rsidR="00F909EF">
              <w:rPr>
                <w:rFonts w:ascii="Calibri" w:hAnsi="Calibri" w:cs="Calibri"/>
                <w:color w:val="000000"/>
                <w:szCs w:val="22"/>
                <w:lang w:eastAsia="en-GB"/>
              </w:rPr>
              <w:t>F</w:t>
            </w:r>
            <w:r>
              <w:rPr>
                <w:rFonts w:ascii="Calibri" w:hAnsi="Calibri" w:cs="Calibri"/>
                <w:color w:val="000000"/>
                <w:szCs w:val="22"/>
                <w:lang w:eastAsia="en-GB"/>
              </w:rPr>
              <w:t xml:space="preserve"> and/or GPRS mediated) VMS.</w:t>
            </w:r>
            <w:r w:rsidR="007B073D">
              <w:rPr>
                <w:rFonts w:ascii="Calibri" w:hAnsi="Calibri" w:cs="Calibri"/>
                <w:color w:val="000000"/>
                <w:szCs w:val="22"/>
                <w:lang w:eastAsia="en-GB"/>
              </w:rPr>
              <w:t xml:space="preserve"> </w:t>
            </w:r>
            <w:r>
              <w:rPr>
                <w:rFonts w:ascii="Calibri" w:hAnsi="Calibri" w:cs="Calibri"/>
                <w:color w:val="000000"/>
                <w:szCs w:val="22"/>
                <w:lang w:eastAsia="en-GB"/>
              </w:rPr>
              <w:t xml:space="preserve">Ongoing science programmes also allow a degree of ground-truthing and elaboration of activity and landings data.  </w:t>
            </w:r>
          </w:p>
        </w:tc>
      </w:tr>
      <w:tr w:rsidR="00FA7D41" w:rsidRPr="005C0C94" w14:paraId="6CAA10AF" w14:textId="77777777" w:rsidTr="00FF5A54">
        <w:trPr>
          <w:trHeight w:val="540"/>
        </w:trPr>
        <w:tc>
          <w:tcPr>
            <w:tcW w:w="1036" w:type="dxa"/>
            <w:vMerge/>
            <w:tcBorders>
              <w:left w:val="single" w:sz="4" w:space="0" w:color="auto"/>
              <w:right w:val="single" w:sz="4" w:space="0" w:color="auto"/>
            </w:tcBorders>
          </w:tcPr>
          <w:p w14:paraId="4ED5DAA3" w14:textId="1FA6A01D" w:rsidR="00FA7D41" w:rsidRPr="005C0C94" w:rsidRDefault="00FA7D41" w:rsidP="002432AC">
            <w:pPr>
              <w:rPr>
                <w:rFonts w:cs="Arial"/>
                <w:color w:val="000000"/>
                <w:sz w:val="20"/>
                <w:szCs w:val="20"/>
                <w:lang w:eastAsia="en-GB"/>
              </w:rPr>
            </w:pPr>
          </w:p>
        </w:tc>
        <w:tc>
          <w:tcPr>
            <w:tcW w:w="1418" w:type="dxa"/>
            <w:vMerge/>
            <w:tcBorders>
              <w:left w:val="single" w:sz="4" w:space="0" w:color="auto"/>
              <w:bottom w:val="single" w:sz="4" w:space="0" w:color="auto"/>
              <w:right w:val="single" w:sz="4" w:space="0" w:color="auto"/>
            </w:tcBorders>
            <w:shd w:val="clear" w:color="auto" w:fill="auto"/>
            <w:vAlign w:val="center"/>
          </w:tcPr>
          <w:p w14:paraId="7D317BE6" w14:textId="77777777" w:rsidR="00FA7D41" w:rsidRPr="008803A1" w:rsidRDefault="00FA7D41" w:rsidP="002432AC">
            <w:pPr>
              <w:rPr>
                <w:rFonts w:cs="Arial"/>
                <w:color w:val="000000"/>
                <w:sz w:val="20"/>
                <w:szCs w:val="20"/>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E6B1AD7" w14:textId="77777777" w:rsidR="00FA7D41" w:rsidRPr="008803A1" w:rsidRDefault="00FA7D41" w:rsidP="002432AC">
            <w:pPr>
              <w:rPr>
                <w:rFonts w:cs="Arial"/>
                <w:color w:val="000000"/>
                <w:sz w:val="20"/>
                <w:szCs w:val="20"/>
                <w:lang w:eastAsia="en-GB"/>
              </w:rPr>
            </w:pPr>
            <w:r w:rsidRPr="008803A1">
              <w:rPr>
                <w:sz w:val="20"/>
                <w:lang w:eastAsia="en-GB"/>
              </w:rPr>
              <w:t>3.2.4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DF1A6B7" w14:textId="77777777" w:rsidR="00FA7D41" w:rsidRPr="008803A1" w:rsidRDefault="00FA7D41" w:rsidP="002432AC">
            <w:pPr>
              <w:rPr>
                <w:rFonts w:cs="Arial"/>
                <w:color w:val="000000"/>
                <w:sz w:val="20"/>
                <w:szCs w:val="20"/>
                <w:lang w:eastAsia="en-GB"/>
              </w:rPr>
            </w:pPr>
            <w:r w:rsidRPr="008803A1">
              <w:rPr>
                <w:sz w:val="20"/>
                <w:lang w:eastAsia="en-GB"/>
              </w:rPr>
              <w:t>Management performance evaluation</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A9570A7" w14:textId="7F6973F8" w:rsidR="00FA7D41" w:rsidRPr="005C0C94" w:rsidRDefault="00FA7D41" w:rsidP="002432AC">
            <w:pPr>
              <w:rPr>
                <w:rFonts w:cs="Arial"/>
                <w:color w:val="000000"/>
                <w:sz w:val="20"/>
                <w:szCs w:val="20"/>
                <w:lang w:eastAsia="en-GB"/>
              </w:rPr>
            </w:pPr>
            <w:r>
              <w:rPr>
                <w:rFonts w:cs="Arial"/>
                <w:color w:val="000000"/>
                <w:sz w:val="20"/>
                <w:szCs w:val="20"/>
                <w:lang w:eastAsia="en-GB"/>
              </w:rPr>
              <w:t>N</w:t>
            </w:r>
            <w:r w:rsidR="008803A1">
              <w:rPr>
                <w:rFonts w:cs="Arial"/>
                <w:color w:val="000000"/>
                <w:sz w:val="20"/>
                <w:szCs w:val="20"/>
                <w:lang w:eastAsia="en-GB"/>
              </w:rPr>
              <w:t>/</w:t>
            </w:r>
            <w:r>
              <w:rPr>
                <w:rFonts w:cs="Arial"/>
                <w:color w:val="000000"/>
                <w:sz w:val="20"/>
                <w:szCs w:val="20"/>
                <w:lang w:eastAsia="en-GB"/>
              </w:rPr>
              <w:t>A</w:t>
            </w:r>
          </w:p>
        </w:tc>
        <w:tc>
          <w:tcPr>
            <w:tcW w:w="85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320F9D05" w14:textId="003E8CCE" w:rsidR="00FA7D41" w:rsidRPr="005C0C94" w:rsidRDefault="00FF5A54" w:rsidP="002432AC">
            <w:pPr>
              <w:rPr>
                <w:rFonts w:cs="Arial"/>
                <w:color w:val="000000"/>
                <w:lang w:eastAsia="en-GB"/>
              </w:rPr>
            </w:pPr>
            <w:r w:rsidRPr="00DA4A8C">
              <w:rPr>
                <w:rFonts w:cs="Arial"/>
                <w:color w:val="000000"/>
                <w:lang w:eastAsia="en-GB"/>
              </w:rPr>
              <w:t>≥80</w:t>
            </w:r>
          </w:p>
        </w:tc>
        <w:tc>
          <w:tcPr>
            <w:tcW w:w="8204" w:type="dxa"/>
            <w:tcBorders>
              <w:top w:val="single" w:sz="4" w:space="0" w:color="auto"/>
              <w:left w:val="single" w:sz="4" w:space="0" w:color="auto"/>
              <w:bottom w:val="single" w:sz="4" w:space="0" w:color="auto"/>
              <w:right w:val="single" w:sz="4" w:space="0" w:color="auto"/>
            </w:tcBorders>
            <w:shd w:val="clear" w:color="auto" w:fill="auto"/>
            <w:vAlign w:val="center"/>
          </w:tcPr>
          <w:p w14:paraId="5A58F4F9" w14:textId="77777777" w:rsidR="007B073D" w:rsidRDefault="007B073D" w:rsidP="00A2540D">
            <w:pPr>
              <w:rPr>
                <w:rFonts w:ascii="Calibri" w:hAnsi="Calibri" w:cs="Calibri"/>
                <w:color w:val="000000"/>
                <w:szCs w:val="22"/>
                <w:lang w:eastAsia="en-GB"/>
              </w:rPr>
            </w:pPr>
            <w:r>
              <w:rPr>
                <w:rFonts w:ascii="Calibri" w:hAnsi="Calibri" w:cs="Calibri"/>
                <w:color w:val="000000"/>
                <w:szCs w:val="22"/>
                <w:lang w:eastAsia="en-GB"/>
              </w:rPr>
              <w:t>The ICES Working Group WG</w:t>
            </w:r>
            <w:r w:rsidRPr="00072676">
              <w:rPr>
                <w:rFonts w:ascii="Calibri" w:hAnsi="Calibri" w:cs="Calibri"/>
                <w:color w:val="000000"/>
                <w:szCs w:val="22"/>
                <w:lang w:eastAsia="en-GB"/>
              </w:rPr>
              <w:t xml:space="preserve">CRAB considers information and comments on management, but </w:t>
            </w:r>
            <w:r>
              <w:rPr>
                <w:rFonts w:ascii="Calibri" w:hAnsi="Calibri" w:cs="Calibri"/>
                <w:color w:val="000000"/>
                <w:szCs w:val="22"/>
                <w:lang w:eastAsia="en-GB"/>
              </w:rPr>
              <w:t xml:space="preserve">this </w:t>
            </w:r>
            <w:r w:rsidRPr="00072676">
              <w:rPr>
                <w:rFonts w:ascii="Calibri" w:hAnsi="Calibri" w:cs="Calibri"/>
                <w:color w:val="000000"/>
                <w:szCs w:val="22"/>
                <w:lang w:eastAsia="en-GB"/>
              </w:rPr>
              <w:t>could not be considered a fishery-specific management review.</w:t>
            </w:r>
          </w:p>
          <w:p w14:paraId="7ACFD630" w14:textId="354A7B09" w:rsidR="00AF228F" w:rsidRDefault="007B073D" w:rsidP="00A2540D">
            <w:pPr>
              <w:rPr>
                <w:rFonts w:ascii="Calibri" w:hAnsi="Calibri" w:cs="Calibri"/>
                <w:color w:val="000000"/>
                <w:szCs w:val="22"/>
                <w:lang w:eastAsia="en-GB"/>
              </w:rPr>
            </w:pPr>
            <w:r>
              <w:rPr>
                <w:rFonts w:ascii="Calibri" w:hAnsi="Calibri" w:cs="Calibri"/>
                <w:color w:val="000000"/>
                <w:szCs w:val="22"/>
                <w:lang w:eastAsia="en-GB"/>
              </w:rPr>
              <w:t xml:space="preserve">The UK crab fishery is subject to a very course form of overall management (and objective), but each region tends to </w:t>
            </w:r>
            <w:r w:rsidR="00AF228F">
              <w:rPr>
                <w:rFonts w:ascii="Calibri" w:hAnsi="Calibri" w:cs="Calibri"/>
                <w:color w:val="000000"/>
                <w:szCs w:val="22"/>
                <w:lang w:eastAsia="en-GB"/>
              </w:rPr>
              <w:t xml:space="preserve">seek to achieve management in its own way – and so a clear management strategy and objective is not established.  </w:t>
            </w:r>
          </w:p>
          <w:p w14:paraId="6521D24B" w14:textId="7601BBBE" w:rsidR="007B073D" w:rsidRDefault="007B073D" w:rsidP="00A2540D">
            <w:pPr>
              <w:rPr>
                <w:rFonts w:ascii="Calibri" w:hAnsi="Calibri" w:cs="Calibri"/>
                <w:color w:val="000000"/>
                <w:szCs w:val="22"/>
                <w:lang w:eastAsia="en-GB"/>
              </w:rPr>
            </w:pPr>
            <w:r>
              <w:rPr>
                <w:rFonts w:ascii="Calibri" w:hAnsi="Calibri" w:cs="Calibri"/>
                <w:color w:val="000000"/>
                <w:szCs w:val="22"/>
                <w:lang w:eastAsia="en-GB"/>
              </w:rPr>
              <w:t xml:space="preserve">Management of the Western English Channel edible crab stock / fishery can be viewed as a mosaic of different regimes – disaggregated on the basis of whether conducted inside or outside the 6nm inshore limit, and whether or not subject to further restrictions associated with a particular area management designation (whether for environmental reasons, or to achieve some degree of gear separation). </w:t>
            </w:r>
            <w:r w:rsidR="00AF228F">
              <w:rPr>
                <w:rFonts w:ascii="Calibri" w:hAnsi="Calibri" w:cs="Calibri"/>
                <w:color w:val="000000"/>
                <w:szCs w:val="22"/>
                <w:lang w:eastAsia="en-GB"/>
              </w:rPr>
              <w:t xml:space="preserve"> </w:t>
            </w:r>
          </w:p>
          <w:p w14:paraId="1C07A74E" w14:textId="10B7D72A" w:rsidR="00895B33" w:rsidRPr="00AF228F" w:rsidRDefault="007B073D" w:rsidP="00895B33">
            <w:pPr>
              <w:rPr>
                <w:rFonts w:ascii="Calibri" w:hAnsi="Calibri" w:cs="Calibri"/>
                <w:color w:val="000000"/>
                <w:szCs w:val="22"/>
                <w:lang w:eastAsia="en-GB"/>
              </w:rPr>
            </w:pPr>
            <w:r>
              <w:rPr>
                <w:rFonts w:ascii="Calibri" w:hAnsi="Calibri" w:cs="Calibri"/>
                <w:color w:val="000000"/>
                <w:szCs w:val="22"/>
                <w:lang w:eastAsia="en-GB"/>
              </w:rPr>
              <w:t xml:space="preserve">The Cefas Western Channel stock assessment is used to inform local management decisions – which are made separately by each </w:t>
            </w:r>
            <w:r w:rsidR="00647D1B" w:rsidRPr="00072676">
              <w:rPr>
                <w:rFonts w:ascii="Calibri" w:hAnsi="Calibri" w:cs="Calibri"/>
                <w:color w:val="000000"/>
                <w:szCs w:val="22"/>
                <w:lang w:eastAsia="en-GB"/>
              </w:rPr>
              <w:t xml:space="preserve">IFCA </w:t>
            </w:r>
            <w:r>
              <w:rPr>
                <w:rFonts w:ascii="Calibri" w:hAnsi="Calibri" w:cs="Calibri"/>
                <w:color w:val="000000"/>
                <w:szCs w:val="22"/>
                <w:lang w:eastAsia="en-GB"/>
              </w:rPr>
              <w:t xml:space="preserve">within a framework formulated by the MMO.  </w:t>
            </w:r>
            <w:r w:rsidR="00AF228F">
              <w:rPr>
                <w:rFonts w:ascii="Calibri" w:hAnsi="Calibri" w:cs="Calibri"/>
                <w:color w:val="000000"/>
                <w:szCs w:val="22"/>
                <w:lang w:eastAsia="en-GB"/>
              </w:rPr>
              <w:t xml:space="preserve">These controls are reviewed locally, but not on a coherent basis.  </w:t>
            </w:r>
            <w:r>
              <w:rPr>
                <w:rFonts w:ascii="Calibri" w:hAnsi="Calibri" w:cs="Calibri"/>
                <w:color w:val="000000"/>
                <w:szCs w:val="22"/>
                <w:lang w:eastAsia="en-GB"/>
              </w:rPr>
              <w:t>These management decisions are, however, subject to periodic review by the SAGB Shellfish Committee.</w:t>
            </w:r>
          </w:p>
        </w:tc>
      </w:tr>
      <w:tr w:rsidR="00FA7D41" w:rsidRPr="005C0C94" w14:paraId="191B88A1" w14:textId="77777777" w:rsidTr="00483E05">
        <w:trPr>
          <w:trHeight w:val="540"/>
        </w:trPr>
        <w:tc>
          <w:tcPr>
            <w:tcW w:w="1036" w:type="dxa"/>
            <w:vMerge/>
            <w:tcBorders>
              <w:left w:val="single" w:sz="4" w:space="0" w:color="auto"/>
              <w:bottom w:val="single" w:sz="4" w:space="0" w:color="auto"/>
              <w:right w:val="single" w:sz="4" w:space="0" w:color="auto"/>
            </w:tcBorders>
            <w:vAlign w:val="center"/>
          </w:tcPr>
          <w:p w14:paraId="534EF000" w14:textId="27B5F708" w:rsidR="00FA7D41" w:rsidRPr="005C0C94" w:rsidRDefault="00FA7D41" w:rsidP="008F313C">
            <w:pPr>
              <w:jc w:val="center"/>
              <w:rPr>
                <w:rFonts w:cs="Arial"/>
                <w:color w:val="000000"/>
                <w:sz w:val="20"/>
                <w:szCs w:val="20"/>
                <w:lang w:eastAsia="en-GB"/>
              </w:rPr>
            </w:pPr>
          </w:p>
        </w:tc>
        <w:tc>
          <w:tcPr>
            <w:tcW w:w="552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65A1588" w14:textId="77777777" w:rsidR="00FA7D41" w:rsidRPr="005C0C94" w:rsidRDefault="00FA7D41" w:rsidP="008F313C">
            <w:pPr>
              <w:jc w:val="center"/>
              <w:rPr>
                <w:rFonts w:cs="Arial"/>
                <w:b/>
                <w:color w:val="000000"/>
                <w:lang w:eastAsia="en-GB"/>
              </w:rPr>
            </w:pPr>
            <w:r w:rsidRPr="005C0C94">
              <w:rPr>
                <w:rFonts w:cs="Arial"/>
                <w:b/>
                <w:color w:val="000000"/>
                <w:lang w:eastAsia="en-GB"/>
              </w:rPr>
              <w:t>Number of PIs less than 60:</w:t>
            </w:r>
          </w:p>
        </w:tc>
        <w:tc>
          <w:tcPr>
            <w:tcW w:w="8204" w:type="dxa"/>
            <w:tcBorders>
              <w:top w:val="single" w:sz="4" w:space="0" w:color="auto"/>
              <w:left w:val="single" w:sz="4" w:space="0" w:color="auto"/>
              <w:bottom w:val="single" w:sz="4" w:space="0" w:color="auto"/>
              <w:right w:val="single" w:sz="4" w:space="0" w:color="auto"/>
            </w:tcBorders>
            <w:shd w:val="clear" w:color="auto" w:fill="auto"/>
            <w:vAlign w:val="center"/>
          </w:tcPr>
          <w:p w14:paraId="18F8BA9B" w14:textId="7AAC6BD6" w:rsidR="00FA7D41" w:rsidRPr="005C0C94" w:rsidRDefault="00FF5A54" w:rsidP="007D1E56">
            <w:pPr>
              <w:rPr>
                <w:rFonts w:cs="Arial"/>
                <w:color w:val="000000"/>
                <w:lang w:eastAsia="en-GB"/>
              </w:rPr>
            </w:pPr>
            <w:r>
              <w:rPr>
                <w:rFonts w:cs="Arial"/>
                <w:color w:val="000000"/>
                <w:lang w:eastAsia="en-GB"/>
              </w:rPr>
              <w:t>0</w:t>
            </w:r>
          </w:p>
        </w:tc>
      </w:tr>
    </w:tbl>
    <w:p w14:paraId="5055446E" w14:textId="77777777" w:rsidR="00107ABF" w:rsidRPr="005C0C94" w:rsidRDefault="00107ABF" w:rsidP="00A123D1">
      <w:pPr>
        <w:rPr>
          <w:lang w:eastAsia="en-GB"/>
        </w:rPr>
      </w:pPr>
    </w:p>
    <w:p w14:paraId="722F15C9" w14:textId="77777777" w:rsidR="00A123D1" w:rsidRPr="005C0C94" w:rsidRDefault="00A123D1" w:rsidP="00A123D1">
      <w:pPr>
        <w:rPr>
          <w:rFonts w:eastAsia="Calibri"/>
        </w:rPr>
      </w:pPr>
    </w:p>
    <w:p w14:paraId="1363BA75" w14:textId="77777777" w:rsidR="00A123D1" w:rsidRPr="005C0C94" w:rsidRDefault="00A123D1" w:rsidP="00A123D1">
      <w:pPr>
        <w:sectPr w:rsidR="00A123D1" w:rsidRPr="005C0C94" w:rsidSect="00551874">
          <w:pgSz w:w="16838" w:h="11906" w:orient="landscape"/>
          <w:pgMar w:top="1440" w:right="1440" w:bottom="1440" w:left="1440" w:header="708" w:footer="708" w:gutter="0"/>
          <w:cols w:space="708"/>
          <w:docGrid w:linePitch="360"/>
        </w:sectPr>
      </w:pPr>
    </w:p>
    <w:p w14:paraId="73F4C67C" w14:textId="4FFE283E" w:rsidR="00551874" w:rsidRPr="005C0C94" w:rsidRDefault="00BB556C" w:rsidP="0094023F">
      <w:pPr>
        <w:pStyle w:val="Heading1"/>
        <w:keepLines w:val="0"/>
        <w:numPr>
          <w:ilvl w:val="0"/>
          <w:numId w:val="0"/>
        </w:numPr>
        <w:autoSpaceDE w:val="0"/>
        <w:autoSpaceDN w:val="0"/>
        <w:adjustRightInd w:val="0"/>
        <w:rPr>
          <w:rFonts w:eastAsia="Calibri"/>
        </w:rPr>
      </w:pPr>
      <w:bookmarkStart w:id="69" w:name="_Toc372551836"/>
      <w:bookmarkStart w:id="70" w:name="_Toc469259588"/>
      <w:r>
        <w:rPr>
          <w:rFonts w:eastAsia="Calibri"/>
        </w:rPr>
        <w:lastRenderedPageBreak/>
        <w:t xml:space="preserve">Appendix </w:t>
      </w:r>
      <w:r w:rsidR="0094023F">
        <w:rPr>
          <w:rFonts w:eastAsia="Calibri"/>
        </w:rPr>
        <w:t>2</w:t>
      </w:r>
      <w:r w:rsidR="003A74F3">
        <w:rPr>
          <w:rFonts w:eastAsia="Calibri"/>
        </w:rPr>
        <w:t xml:space="preserve"> – </w:t>
      </w:r>
      <w:r w:rsidR="00551874" w:rsidRPr="005C0C94">
        <w:rPr>
          <w:rFonts w:eastAsia="Calibri"/>
        </w:rPr>
        <w:t>References</w:t>
      </w:r>
      <w:bookmarkEnd w:id="69"/>
      <w:bookmarkEnd w:id="70"/>
    </w:p>
    <w:p w14:paraId="0BC70B98" w14:textId="77777777" w:rsidR="007F566E" w:rsidRDefault="007F566E" w:rsidP="00A54B7A">
      <w:pPr>
        <w:spacing w:after="60"/>
      </w:pPr>
    </w:p>
    <w:p w14:paraId="71950C6C" w14:textId="267697B6" w:rsidR="00A52D34" w:rsidRDefault="00A52D34" w:rsidP="00A52D34">
      <w:pPr>
        <w:pStyle w:val="Default"/>
        <w:numPr>
          <w:ilvl w:val="0"/>
          <w:numId w:val="29"/>
        </w:numPr>
        <w:spacing w:before="120" w:after="60"/>
        <w:rPr>
          <w:rFonts w:asciiTheme="majorHAnsi" w:eastAsia="Times New Roman" w:hAnsiTheme="majorHAnsi" w:cs="Times New Roman"/>
          <w:color w:val="auto"/>
          <w:sz w:val="22"/>
        </w:rPr>
      </w:pPr>
      <w:proofErr w:type="spellStart"/>
      <w:r w:rsidRPr="00A52D34">
        <w:rPr>
          <w:rFonts w:asciiTheme="majorHAnsi" w:eastAsia="Times New Roman" w:hAnsiTheme="majorHAnsi" w:cs="Times New Roman"/>
          <w:color w:val="auto"/>
          <w:sz w:val="22"/>
        </w:rPr>
        <w:t>Acrunet</w:t>
      </w:r>
      <w:proofErr w:type="spellEnd"/>
      <w:r w:rsidRPr="00A52D34">
        <w:rPr>
          <w:rFonts w:asciiTheme="majorHAnsi" w:eastAsia="Times New Roman" w:hAnsiTheme="majorHAnsi" w:cs="Times New Roman"/>
          <w:color w:val="auto"/>
          <w:sz w:val="22"/>
        </w:rPr>
        <w:t xml:space="preserve"> (</w:t>
      </w:r>
      <w:r w:rsidRPr="00A52D34">
        <w:rPr>
          <w:rFonts w:asciiTheme="majorHAnsi" w:eastAsia="Times New Roman" w:hAnsiTheme="majorHAnsi" w:cs="Times New Roman"/>
          <w:b/>
          <w:color w:val="auto"/>
          <w:sz w:val="22"/>
        </w:rPr>
        <w:t>2015</w:t>
      </w:r>
      <w:r w:rsidRPr="00A52D34">
        <w:rPr>
          <w:rFonts w:asciiTheme="majorHAnsi" w:eastAsia="Times New Roman" w:hAnsiTheme="majorHAnsi" w:cs="Times New Roman"/>
          <w:color w:val="auto"/>
          <w:sz w:val="22"/>
        </w:rPr>
        <w:t xml:space="preserve">) Atlantic Crab Resource Users Network - </w:t>
      </w:r>
      <w:hyperlink r:id="rId29" w:history="1">
        <w:r w:rsidRPr="00AC0A89">
          <w:rPr>
            <w:rStyle w:val="Hyperlink"/>
            <w:rFonts w:asciiTheme="majorHAnsi" w:eastAsia="Times New Roman" w:hAnsiTheme="majorHAnsi" w:cs="Times New Roman"/>
            <w:sz w:val="22"/>
          </w:rPr>
          <w:t>http://www.acrunet.eu/</w:t>
        </w:r>
      </w:hyperlink>
    </w:p>
    <w:p w14:paraId="6E148E4C" w14:textId="7E0A79D3" w:rsidR="007F566E" w:rsidRPr="00836744" w:rsidRDefault="007F566E" w:rsidP="00836744">
      <w:pPr>
        <w:pStyle w:val="Default"/>
        <w:numPr>
          <w:ilvl w:val="0"/>
          <w:numId w:val="29"/>
        </w:numPr>
        <w:spacing w:before="120" w:after="60"/>
        <w:rPr>
          <w:rFonts w:asciiTheme="majorHAnsi" w:eastAsia="Times New Roman" w:hAnsiTheme="majorHAnsi" w:cs="Times New Roman"/>
          <w:color w:val="auto"/>
          <w:sz w:val="22"/>
        </w:rPr>
      </w:pPr>
      <w:r>
        <w:rPr>
          <w:rFonts w:asciiTheme="majorHAnsi" w:eastAsia="Times New Roman" w:hAnsiTheme="majorHAnsi" w:cs="Times New Roman"/>
          <w:color w:val="auto"/>
          <w:sz w:val="22"/>
        </w:rPr>
        <w:t>Bannister R C A (</w:t>
      </w:r>
      <w:r w:rsidRPr="00836744">
        <w:rPr>
          <w:rFonts w:asciiTheme="majorHAnsi" w:eastAsia="Times New Roman" w:hAnsiTheme="majorHAnsi" w:cs="Times New Roman"/>
          <w:b/>
          <w:color w:val="auto"/>
          <w:sz w:val="22"/>
        </w:rPr>
        <w:t>2009</w:t>
      </w:r>
      <w:r>
        <w:rPr>
          <w:rFonts w:asciiTheme="majorHAnsi" w:eastAsia="Times New Roman" w:hAnsiTheme="majorHAnsi" w:cs="Times New Roman"/>
          <w:color w:val="auto"/>
          <w:sz w:val="22"/>
        </w:rPr>
        <w:t xml:space="preserve">) </w:t>
      </w:r>
      <w:r w:rsidRPr="00836744">
        <w:rPr>
          <w:rFonts w:asciiTheme="majorHAnsi" w:eastAsia="Times New Roman" w:hAnsiTheme="majorHAnsi" w:cs="Times New Roman"/>
          <w:color w:val="auto"/>
          <w:sz w:val="22"/>
        </w:rPr>
        <w:t>On the</w:t>
      </w:r>
      <w:r>
        <w:rPr>
          <w:rFonts w:asciiTheme="majorHAnsi" w:eastAsia="Times New Roman" w:hAnsiTheme="majorHAnsi" w:cs="Times New Roman"/>
          <w:color w:val="auto"/>
          <w:sz w:val="22"/>
        </w:rPr>
        <w:t xml:space="preserve"> </w:t>
      </w:r>
      <w:r w:rsidRPr="00836744">
        <w:rPr>
          <w:rFonts w:asciiTheme="majorHAnsi" w:eastAsia="Times New Roman" w:hAnsiTheme="majorHAnsi" w:cs="Times New Roman"/>
          <w:color w:val="auto"/>
          <w:sz w:val="22"/>
        </w:rPr>
        <w:t>Management of Brown Crab Fisheries</w:t>
      </w:r>
      <w:r>
        <w:rPr>
          <w:rFonts w:asciiTheme="majorHAnsi" w:eastAsia="Times New Roman" w:hAnsiTheme="majorHAnsi" w:cs="Times New Roman"/>
          <w:color w:val="auto"/>
          <w:sz w:val="22"/>
        </w:rPr>
        <w:t>; Shellfish Association of Great Britain</w:t>
      </w:r>
    </w:p>
    <w:p w14:paraId="76959868" w14:textId="77777777" w:rsidR="00A52D34" w:rsidRPr="008C1DF3" w:rsidRDefault="00A52D34" w:rsidP="00A52D34">
      <w:pPr>
        <w:pStyle w:val="Default"/>
        <w:numPr>
          <w:ilvl w:val="0"/>
          <w:numId w:val="29"/>
        </w:numPr>
        <w:spacing w:before="120" w:after="60"/>
        <w:rPr>
          <w:rFonts w:asciiTheme="majorHAnsi" w:eastAsia="Times New Roman" w:hAnsiTheme="majorHAnsi" w:cs="Times New Roman"/>
          <w:color w:val="auto"/>
          <w:sz w:val="22"/>
        </w:rPr>
      </w:pPr>
      <w:r w:rsidRPr="00A52D34">
        <w:rPr>
          <w:rFonts w:asciiTheme="majorHAnsi" w:eastAsia="Times New Roman" w:hAnsiTheme="majorHAnsi" w:cs="Times New Roman"/>
          <w:color w:val="auto"/>
          <w:sz w:val="22"/>
        </w:rPr>
        <w:t>Bannister R C A (</w:t>
      </w:r>
      <w:r w:rsidRPr="00986E35">
        <w:rPr>
          <w:rFonts w:asciiTheme="majorHAnsi" w:eastAsia="Times New Roman" w:hAnsiTheme="majorHAnsi" w:cs="Times New Roman"/>
          <w:b/>
          <w:color w:val="auto"/>
          <w:sz w:val="22"/>
        </w:rPr>
        <w:t>2014</w:t>
      </w:r>
      <w:r w:rsidRPr="00A52D34">
        <w:rPr>
          <w:rFonts w:asciiTheme="majorHAnsi" w:eastAsia="Times New Roman" w:hAnsiTheme="majorHAnsi" w:cs="Times New Roman"/>
          <w:color w:val="auto"/>
          <w:sz w:val="22"/>
        </w:rPr>
        <w:t>) Running the marathon: an SAGB perspective on attempts to improve the management of our pot fisheries</w:t>
      </w:r>
      <w:r>
        <w:rPr>
          <w:rFonts w:asciiTheme="majorHAnsi" w:eastAsia="Times New Roman" w:hAnsiTheme="majorHAnsi" w:cs="Times New Roman"/>
          <w:color w:val="auto"/>
          <w:sz w:val="22"/>
        </w:rPr>
        <w:t xml:space="preserve">; </w:t>
      </w:r>
      <w:r w:rsidRPr="008C1DF3">
        <w:rPr>
          <w:rFonts w:asciiTheme="majorHAnsi" w:eastAsia="Times New Roman" w:hAnsiTheme="majorHAnsi" w:cs="Times New Roman"/>
          <w:color w:val="auto"/>
          <w:sz w:val="22"/>
        </w:rPr>
        <w:t>presentation</w:t>
      </w:r>
      <w:r>
        <w:rPr>
          <w:rFonts w:asciiTheme="majorHAnsi" w:eastAsia="Times New Roman" w:hAnsiTheme="majorHAnsi" w:cs="Times New Roman"/>
          <w:color w:val="auto"/>
          <w:sz w:val="22"/>
        </w:rPr>
        <w:t xml:space="preserve"> to the NFFO Shellfish Summit, October 2014 - </w:t>
      </w:r>
      <w:r w:rsidRPr="00A52D34">
        <w:rPr>
          <w:rFonts w:asciiTheme="majorHAnsi" w:eastAsia="Times New Roman" w:hAnsiTheme="majorHAnsi" w:cs="Times New Roman"/>
          <w:color w:val="auto"/>
          <w:sz w:val="22"/>
        </w:rPr>
        <w:t>http://nffo.org.uk/responsible-fishing/nffo-shellfish-summit-report/</w:t>
      </w:r>
    </w:p>
    <w:p w14:paraId="25A3EFC6" w14:textId="26313BCD" w:rsidR="007F566E" w:rsidRPr="007C1313" w:rsidRDefault="00A52D34" w:rsidP="00836744">
      <w:pPr>
        <w:pStyle w:val="Default"/>
        <w:numPr>
          <w:ilvl w:val="0"/>
          <w:numId w:val="29"/>
        </w:numPr>
        <w:spacing w:before="120" w:after="60"/>
        <w:rPr>
          <w:rFonts w:asciiTheme="majorHAnsi" w:eastAsia="Times New Roman" w:hAnsiTheme="majorHAnsi" w:cs="Times New Roman"/>
          <w:color w:val="auto"/>
          <w:sz w:val="22"/>
        </w:rPr>
      </w:pPr>
      <w:r>
        <w:rPr>
          <w:rFonts w:asciiTheme="majorHAnsi" w:eastAsia="Times New Roman" w:hAnsiTheme="majorHAnsi" w:cs="Times New Roman"/>
          <w:color w:val="auto"/>
          <w:sz w:val="22"/>
        </w:rPr>
        <w:t>C</w:t>
      </w:r>
      <w:r w:rsidR="007F566E" w:rsidRPr="007C1313">
        <w:rPr>
          <w:rFonts w:asciiTheme="majorHAnsi" w:eastAsia="Times New Roman" w:hAnsiTheme="majorHAnsi" w:cs="Times New Roman"/>
          <w:color w:val="auto"/>
          <w:sz w:val="22"/>
        </w:rPr>
        <w:t>efas (</w:t>
      </w:r>
      <w:r w:rsidR="007F566E" w:rsidRPr="007C1313">
        <w:rPr>
          <w:rFonts w:asciiTheme="majorHAnsi" w:eastAsia="Times New Roman" w:hAnsiTheme="majorHAnsi" w:cs="Times New Roman"/>
          <w:b/>
          <w:color w:val="auto"/>
          <w:sz w:val="22"/>
        </w:rPr>
        <w:t>2015</w:t>
      </w:r>
      <w:r w:rsidR="007F566E" w:rsidRPr="007C1313">
        <w:rPr>
          <w:rFonts w:asciiTheme="majorHAnsi" w:eastAsia="Times New Roman" w:hAnsiTheme="majorHAnsi" w:cs="Times New Roman"/>
          <w:color w:val="auto"/>
          <w:sz w:val="22"/>
        </w:rPr>
        <w:t xml:space="preserve">) Cefas Stock Status Report 2014 </w:t>
      </w:r>
      <w:r w:rsidR="007F566E">
        <w:rPr>
          <w:rFonts w:asciiTheme="majorHAnsi" w:eastAsia="Times New Roman" w:hAnsiTheme="majorHAnsi" w:cs="Times New Roman"/>
          <w:color w:val="auto"/>
          <w:sz w:val="22"/>
        </w:rPr>
        <w:t>–</w:t>
      </w:r>
      <w:r w:rsidR="007F566E" w:rsidRPr="007C1313">
        <w:rPr>
          <w:rFonts w:asciiTheme="majorHAnsi" w:eastAsia="Times New Roman" w:hAnsiTheme="majorHAnsi" w:cs="Times New Roman"/>
          <w:color w:val="auto"/>
          <w:sz w:val="22"/>
        </w:rPr>
        <w:t xml:space="preserve"> Edible crab </w:t>
      </w:r>
    </w:p>
    <w:p w14:paraId="3959B658" w14:textId="0842BAD6" w:rsidR="007F566E" w:rsidRDefault="007F566E" w:rsidP="007F566E">
      <w:pPr>
        <w:pStyle w:val="Default"/>
        <w:numPr>
          <w:ilvl w:val="0"/>
          <w:numId w:val="29"/>
        </w:numPr>
        <w:spacing w:before="120" w:after="60"/>
        <w:rPr>
          <w:rFonts w:asciiTheme="majorHAnsi" w:eastAsia="Times New Roman" w:hAnsiTheme="majorHAnsi" w:cs="Times New Roman"/>
          <w:color w:val="auto"/>
          <w:sz w:val="22"/>
        </w:rPr>
      </w:pPr>
      <w:r w:rsidRPr="007F566E">
        <w:rPr>
          <w:rFonts w:asciiTheme="majorHAnsi" w:eastAsia="Times New Roman" w:hAnsiTheme="majorHAnsi" w:cs="Times New Roman"/>
          <w:color w:val="auto"/>
          <w:sz w:val="22"/>
        </w:rPr>
        <w:t>Clark S (</w:t>
      </w:r>
      <w:r w:rsidRPr="007F566E">
        <w:rPr>
          <w:rFonts w:asciiTheme="majorHAnsi" w:eastAsia="Times New Roman" w:hAnsiTheme="majorHAnsi" w:cs="Times New Roman"/>
          <w:b/>
          <w:color w:val="auto"/>
          <w:sz w:val="22"/>
        </w:rPr>
        <w:t>2008</w:t>
      </w:r>
      <w:r w:rsidRPr="007F566E">
        <w:rPr>
          <w:rFonts w:asciiTheme="majorHAnsi" w:eastAsia="Times New Roman" w:hAnsiTheme="majorHAnsi" w:cs="Times New Roman"/>
          <w:color w:val="auto"/>
          <w:sz w:val="22"/>
        </w:rPr>
        <w:t>) South Devon Potting Effort Survey 2008</w:t>
      </w:r>
    </w:p>
    <w:p w14:paraId="03065F3D" w14:textId="3160D23E" w:rsidR="008C1DF3" w:rsidRPr="008C1DF3" w:rsidRDefault="008C1DF3" w:rsidP="00A52D34">
      <w:pPr>
        <w:pStyle w:val="Default"/>
        <w:numPr>
          <w:ilvl w:val="0"/>
          <w:numId w:val="29"/>
        </w:numPr>
        <w:spacing w:before="120" w:after="60"/>
        <w:rPr>
          <w:rFonts w:asciiTheme="majorHAnsi" w:eastAsia="Times New Roman" w:hAnsiTheme="majorHAnsi" w:cs="Times New Roman"/>
          <w:color w:val="auto"/>
          <w:sz w:val="22"/>
        </w:rPr>
      </w:pPr>
      <w:r w:rsidRPr="008C1DF3">
        <w:rPr>
          <w:rFonts w:asciiTheme="majorHAnsi" w:eastAsia="Times New Roman" w:hAnsiTheme="majorHAnsi" w:cs="Times New Roman"/>
          <w:color w:val="auto"/>
          <w:sz w:val="22"/>
        </w:rPr>
        <w:t>Clark S (</w:t>
      </w:r>
      <w:r w:rsidRPr="00A52D34">
        <w:rPr>
          <w:rFonts w:asciiTheme="majorHAnsi" w:eastAsia="Times New Roman" w:hAnsiTheme="majorHAnsi" w:cs="Times New Roman"/>
          <w:b/>
          <w:color w:val="auto"/>
          <w:sz w:val="22"/>
        </w:rPr>
        <w:t>2014</w:t>
      </w:r>
      <w:r w:rsidRPr="008C1DF3">
        <w:rPr>
          <w:rFonts w:asciiTheme="majorHAnsi" w:eastAsia="Times New Roman" w:hAnsiTheme="majorHAnsi" w:cs="Times New Roman"/>
          <w:color w:val="auto"/>
          <w:sz w:val="22"/>
        </w:rPr>
        <w:t>) IFCA Shellfish Management</w:t>
      </w:r>
      <w:r w:rsidR="00A52D34">
        <w:rPr>
          <w:rFonts w:asciiTheme="majorHAnsi" w:eastAsia="Times New Roman" w:hAnsiTheme="majorHAnsi" w:cs="Times New Roman"/>
          <w:color w:val="auto"/>
          <w:sz w:val="22"/>
        </w:rPr>
        <w:t xml:space="preserve">: </w:t>
      </w:r>
      <w:r w:rsidRPr="008C1DF3">
        <w:rPr>
          <w:rFonts w:asciiTheme="majorHAnsi" w:eastAsia="Times New Roman" w:hAnsiTheme="majorHAnsi" w:cs="Times New Roman"/>
          <w:color w:val="auto"/>
          <w:sz w:val="22"/>
        </w:rPr>
        <w:t>presentation</w:t>
      </w:r>
      <w:r w:rsidR="00A52D34">
        <w:rPr>
          <w:rFonts w:asciiTheme="majorHAnsi" w:eastAsia="Times New Roman" w:hAnsiTheme="majorHAnsi" w:cs="Times New Roman"/>
          <w:color w:val="auto"/>
          <w:sz w:val="22"/>
        </w:rPr>
        <w:t xml:space="preserve"> to the NFFO Shellfish Summit, October 2014 - </w:t>
      </w:r>
      <w:r w:rsidR="00A52D34" w:rsidRPr="00A52D34">
        <w:rPr>
          <w:rFonts w:asciiTheme="majorHAnsi" w:eastAsia="Times New Roman" w:hAnsiTheme="majorHAnsi" w:cs="Times New Roman"/>
          <w:color w:val="auto"/>
          <w:sz w:val="22"/>
        </w:rPr>
        <w:t>http://nffo.org.uk/responsible-fishing/nffo-shellfish-summit-report/</w:t>
      </w:r>
    </w:p>
    <w:p w14:paraId="1D3243A4" w14:textId="77777777" w:rsidR="007F566E" w:rsidRPr="00836744" w:rsidRDefault="007F566E" w:rsidP="00836744">
      <w:pPr>
        <w:pStyle w:val="ListParagraph"/>
        <w:numPr>
          <w:ilvl w:val="0"/>
          <w:numId w:val="29"/>
        </w:numPr>
        <w:spacing w:before="120" w:after="60"/>
        <w:rPr>
          <w:lang w:val="es-ES"/>
        </w:rPr>
      </w:pPr>
      <w:proofErr w:type="spellStart"/>
      <w:r w:rsidRPr="00836744">
        <w:rPr>
          <w:lang w:val="es-ES"/>
        </w:rPr>
        <w:t>Dapling</w:t>
      </w:r>
      <w:proofErr w:type="spellEnd"/>
      <w:r w:rsidRPr="00836744">
        <w:rPr>
          <w:lang w:val="es-ES"/>
        </w:rPr>
        <w:t xml:space="preserve"> T.M., Clark R.W.E., &amp; </w:t>
      </w:r>
      <w:proofErr w:type="spellStart"/>
      <w:r w:rsidRPr="00836744">
        <w:rPr>
          <w:lang w:val="es-ES"/>
        </w:rPr>
        <w:t>Vause</w:t>
      </w:r>
      <w:proofErr w:type="spellEnd"/>
      <w:r w:rsidRPr="00836744">
        <w:rPr>
          <w:lang w:val="es-ES"/>
        </w:rPr>
        <w:t xml:space="preserve"> B.J., </w:t>
      </w:r>
      <w:proofErr w:type="spellStart"/>
      <w:r w:rsidRPr="00836744">
        <w:rPr>
          <w:lang w:val="es-ES"/>
        </w:rPr>
        <w:t>Medley</w:t>
      </w:r>
      <w:proofErr w:type="spellEnd"/>
      <w:r w:rsidRPr="00836744">
        <w:rPr>
          <w:lang w:val="es-ES"/>
        </w:rPr>
        <w:t xml:space="preserve">, P., C.R.C. </w:t>
      </w:r>
      <w:proofErr w:type="spellStart"/>
      <w:r w:rsidRPr="00836744">
        <w:rPr>
          <w:lang w:val="es-ES"/>
        </w:rPr>
        <w:t>Carleton</w:t>
      </w:r>
      <w:proofErr w:type="spellEnd"/>
      <w:r w:rsidRPr="00836744">
        <w:rPr>
          <w:lang w:val="es-ES"/>
        </w:rPr>
        <w:t xml:space="preserve"> (</w:t>
      </w:r>
      <w:r w:rsidRPr="00836744">
        <w:rPr>
          <w:b/>
          <w:lang w:val="es-ES"/>
        </w:rPr>
        <w:t>2010</w:t>
      </w:r>
      <w:r w:rsidRPr="00836744">
        <w:rPr>
          <w:lang w:val="es-ES"/>
        </w:rPr>
        <w:t>). "</w:t>
      </w:r>
      <w:proofErr w:type="spellStart"/>
      <w:r w:rsidRPr="00836744">
        <w:rPr>
          <w:lang w:val="es-ES"/>
        </w:rPr>
        <w:t>Navigating</w:t>
      </w:r>
      <w:proofErr w:type="spellEnd"/>
      <w:r w:rsidRPr="00836744">
        <w:rPr>
          <w:lang w:val="es-ES"/>
        </w:rPr>
        <w:t xml:space="preserve"> </w:t>
      </w:r>
      <w:proofErr w:type="spellStart"/>
      <w:r w:rsidRPr="00836744">
        <w:rPr>
          <w:lang w:val="es-ES"/>
        </w:rPr>
        <w:t>the</w:t>
      </w:r>
      <w:proofErr w:type="spellEnd"/>
      <w:r w:rsidRPr="00836744">
        <w:rPr>
          <w:lang w:val="es-ES"/>
        </w:rPr>
        <w:t xml:space="preserve"> </w:t>
      </w:r>
      <w:proofErr w:type="spellStart"/>
      <w:r w:rsidRPr="00836744">
        <w:rPr>
          <w:lang w:val="es-ES"/>
        </w:rPr>
        <w:t>Future</w:t>
      </w:r>
      <w:proofErr w:type="spellEnd"/>
      <w:r w:rsidRPr="00836744">
        <w:rPr>
          <w:lang w:val="es-ES"/>
        </w:rPr>
        <w:t xml:space="preserve">‟. </w:t>
      </w:r>
      <w:proofErr w:type="spellStart"/>
      <w:r w:rsidRPr="00836744">
        <w:rPr>
          <w:lang w:val="es-ES"/>
        </w:rPr>
        <w:t>Developing</w:t>
      </w:r>
      <w:proofErr w:type="spellEnd"/>
      <w:r w:rsidRPr="00836744">
        <w:rPr>
          <w:lang w:val="es-ES"/>
        </w:rPr>
        <w:t xml:space="preserve"> </w:t>
      </w:r>
      <w:proofErr w:type="spellStart"/>
      <w:r w:rsidRPr="00836744">
        <w:rPr>
          <w:lang w:val="es-ES"/>
        </w:rPr>
        <w:t>Sustainable</w:t>
      </w:r>
      <w:proofErr w:type="spellEnd"/>
      <w:r w:rsidRPr="00836744">
        <w:rPr>
          <w:lang w:val="es-ES"/>
        </w:rPr>
        <w:t xml:space="preserve"> </w:t>
      </w:r>
      <w:proofErr w:type="spellStart"/>
      <w:r w:rsidRPr="00836744">
        <w:rPr>
          <w:lang w:val="es-ES"/>
        </w:rPr>
        <w:t>Inshore</w:t>
      </w:r>
      <w:proofErr w:type="spellEnd"/>
      <w:r w:rsidRPr="00836744">
        <w:rPr>
          <w:lang w:val="es-ES"/>
        </w:rPr>
        <w:t xml:space="preserve"> </w:t>
      </w:r>
      <w:proofErr w:type="spellStart"/>
      <w:r w:rsidRPr="00836744">
        <w:rPr>
          <w:lang w:val="es-ES"/>
        </w:rPr>
        <w:t>Fisheries</w:t>
      </w:r>
      <w:proofErr w:type="spellEnd"/>
      <w:r w:rsidRPr="00836744">
        <w:rPr>
          <w:lang w:val="es-ES"/>
        </w:rPr>
        <w:t xml:space="preserve">. </w:t>
      </w:r>
      <w:proofErr w:type="spellStart"/>
      <w:r w:rsidRPr="00836744">
        <w:rPr>
          <w:lang w:val="es-ES"/>
        </w:rPr>
        <w:t>The</w:t>
      </w:r>
      <w:proofErr w:type="spellEnd"/>
      <w:r w:rsidRPr="00836744">
        <w:rPr>
          <w:lang w:val="es-ES"/>
        </w:rPr>
        <w:t xml:space="preserve"> UK </w:t>
      </w:r>
      <w:proofErr w:type="spellStart"/>
      <w:r w:rsidRPr="00836744">
        <w:rPr>
          <w:lang w:val="es-ES"/>
        </w:rPr>
        <w:t>Inshore</w:t>
      </w:r>
      <w:proofErr w:type="spellEnd"/>
      <w:r w:rsidRPr="00836744">
        <w:rPr>
          <w:lang w:val="es-ES"/>
        </w:rPr>
        <w:t xml:space="preserve"> </w:t>
      </w:r>
      <w:proofErr w:type="spellStart"/>
      <w:r w:rsidRPr="00836744">
        <w:rPr>
          <w:lang w:val="es-ES"/>
        </w:rPr>
        <w:t>Fisheries</w:t>
      </w:r>
      <w:proofErr w:type="spellEnd"/>
      <w:r w:rsidRPr="00836744">
        <w:rPr>
          <w:lang w:val="es-ES"/>
        </w:rPr>
        <w:t xml:space="preserve"> </w:t>
      </w:r>
      <w:proofErr w:type="spellStart"/>
      <w:r w:rsidRPr="00836744">
        <w:rPr>
          <w:lang w:val="es-ES"/>
        </w:rPr>
        <w:t>Sustainability</w:t>
      </w:r>
      <w:proofErr w:type="spellEnd"/>
      <w:r w:rsidRPr="00836744">
        <w:rPr>
          <w:lang w:val="es-ES"/>
        </w:rPr>
        <w:t xml:space="preserve"> Project"</w:t>
      </w:r>
    </w:p>
    <w:p w14:paraId="179F8996" w14:textId="2057C606" w:rsidR="00C34CB8" w:rsidRDefault="00C34CB8" w:rsidP="00C34CB8">
      <w:pPr>
        <w:pStyle w:val="Default"/>
        <w:numPr>
          <w:ilvl w:val="0"/>
          <w:numId w:val="29"/>
        </w:numPr>
        <w:spacing w:before="120" w:after="60"/>
        <w:rPr>
          <w:rFonts w:asciiTheme="majorHAnsi" w:eastAsia="Times New Roman" w:hAnsiTheme="majorHAnsi" w:cs="Times New Roman"/>
          <w:color w:val="auto"/>
          <w:sz w:val="22"/>
        </w:rPr>
      </w:pPr>
      <w:r w:rsidRPr="008C1DF3">
        <w:rPr>
          <w:rFonts w:asciiTheme="majorHAnsi" w:eastAsia="Times New Roman" w:hAnsiTheme="majorHAnsi" w:cs="Times New Roman"/>
          <w:color w:val="auto"/>
          <w:sz w:val="22"/>
        </w:rPr>
        <w:t>Finding Sanctuary (</w:t>
      </w:r>
      <w:r w:rsidRPr="008C1DF3">
        <w:rPr>
          <w:rFonts w:asciiTheme="majorHAnsi" w:eastAsia="Times New Roman" w:hAnsiTheme="majorHAnsi" w:cs="Times New Roman"/>
          <w:b/>
          <w:color w:val="auto"/>
          <w:sz w:val="22"/>
        </w:rPr>
        <w:t>2011</w:t>
      </w:r>
      <w:r w:rsidRPr="008C1DF3">
        <w:rPr>
          <w:rFonts w:asciiTheme="majorHAnsi" w:eastAsia="Times New Roman" w:hAnsiTheme="majorHAnsi" w:cs="Times New Roman"/>
          <w:color w:val="auto"/>
          <w:sz w:val="22"/>
        </w:rPr>
        <w:t>) Final Report and Recommendations + 7 appendices</w:t>
      </w:r>
      <w:r w:rsidRPr="00BC3F90">
        <w:rPr>
          <w:rFonts w:asciiTheme="majorHAnsi" w:eastAsia="Times New Roman" w:hAnsiTheme="majorHAnsi" w:cs="Times New Roman"/>
          <w:color w:val="auto"/>
          <w:sz w:val="22"/>
        </w:rPr>
        <w:t xml:space="preserve"> </w:t>
      </w:r>
      <w:r>
        <w:rPr>
          <w:rFonts w:asciiTheme="majorHAnsi" w:eastAsia="Times New Roman" w:hAnsiTheme="majorHAnsi" w:cs="Times New Roman"/>
          <w:color w:val="auto"/>
          <w:sz w:val="22"/>
        </w:rPr>
        <w:t xml:space="preserve">– </w:t>
      </w:r>
      <w:r w:rsidRPr="00C34CB8">
        <w:rPr>
          <w:rFonts w:asciiTheme="majorHAnsi" w:eastAsia="Times New Roman" w:hAnsiTheme="majorHAnsi" w:cs="Times New Roman"/>
          <w:color w:val="auto"/>
          <w:sz w:val="22"/>
        </w:rPr>
        <w:t>http://publications.naturalengland.org.uk/publication/1561560</w:t>
      </w:r>
    </w:p>
    <w:p w14:paraId="2CE4878F" w14:textId="77777777" w:rsidR="003346A9" w:rsidRPr="003346A9" w:rsidRDefault="003346A9" w:rsidP="003346A9">
      <w:pPr>
        <w:pStyle w:val="ListParagraph"/>
        <w:numPr>
          <w:ilvl w:val="0"/>
          <w:numId w:val="29"/>
        </w:numPr>
      </w:pPr>
      <w:r w:rsidRPr="003346A9">
        <w:t xml:space="preserve">Grieve C,  D. Brady &amp; H </w:t>
      </w:r>
      <w:proofErr w:type="spellStart"/>
      <w:r w:rsidRPr="003346A9">
        <w:t>Polet</w:t>
      </w:r>
      <w:proofErr w:type="spellEnd"/>
      <w:r w:rsidRPr="003346A9">
        <w:t xml:space="preserve"> (</w:t>
      </w:r>
      <w:r w:rsidRPr="003346A9">
        <w:rPr>
          <w:b/>
        </w:rPr>
        <w:t>2014</w:t>
      </w:r>
      <w:r w:rsidRPr="003346A9">
        <w:t>) Best practices for managing, measuring and mitigating the benthic impacts of fishing; MSC Science Series</w:t>
      </w:r>
    </w:p>
    <w:p w14:paraId="2C59B3B6" w14:textId="5E6E0ED7" w:rsidR="007F566E" w:rsidRPr="00BC3F90" w:rsidRDefault="007F566E" w:rsidP="00BC3F90">
      <w:pPr>
        <w:pStyle w:val="Default"/>
        <w:numPr>
          <w:ilvl w:val="0"/>
          <w:numId w:val="29"/>
        </w:numPr>
        <w:spacing w:before="120" w:after="60"/>
        <w:rPr>
          <w:rFonts w:asciiTheme="majorHAnsi" w:eastAsia="Times New Roman" w:hAnsiTheme="majorHAnsi" w:cs="Times New Roman"/>
          <w:color w:val="auto"/>
          <w:sz w:val="22"/>
        </w:rPr>
      </w:pPr>
      <w:r w:rsidRPr="00BC3F90">
        <w:rPr>
          <w:rFonts w:asciiTheme="majorHAnsi" w:eastAsia="Times New Roman" w:hAnsiTheme="majorHAnsi" w:cs="Times New Roman"/>
          <w:color w:val="auto"/>
          <w:sz w:val="22"/>
        </w:rPr>
        <w:t>Hunter E, Eaton D, Stewart C, Lawler A, Smith MT (</w:t>
      </w:r>
      <w:r w:rsidRPr="00BC3F90">
        <w:rPr>
          <w:rFonts w:asciiTheme="majorHAnsi" w:eastAsia="Times New Roman" w:hAnsiTheme="majorHAnsi" w:cs="Times New Roman"/>
          <w:b/>
          <w:color w:val="auto"/>
          <w:sz w:val="22"/>
        </w:rPr>
        <w:t>2013</w:t>
      </w:r>
      <w:r w:rsidRPr="00BC3F90">
        <w:rPr>
          <w:rFonts w:asciiTheme="majorHAnsi" w:eastAsia="Times New Roman" w:hAnsiTheme="majorHAnsi" w:cs="Times New Roman"/>
          <w:color w:val="auto"/>
          <w:sz w:val="22"/>
        </w:rPr>
        <w:t xml:space="preserve">) Edible Crabs ‘‘Go West’’: Migrations and Incubation Cycle of </w:t>
      </w:r>
      <w:r w:rsidRPr="00BC3F90">
        <w:rPr>
          <w:rFonts w:asciiTheme="majorHAnsi" w:eastAsia="Times New Roman" w:hAnsiTheme="majorHAnsi" w:cs="Times New Roman"/>
          <w:i/>
          <w:color w:val="auto"/>
          <w:sz w:val="22"/>
        </w:rPr>
        <w:t>Cancer pagurus</w:t>
      </w:r>
      <w:r w:rsidRPr="00BC3F90">
        <w:rPr>
          <w:rFonts w:asciiTheme="majorHAnsi" w:eastAsia="Times New Roman" w:hAnsiTheme="majorHAnsi" w:cs="Times New Roman"/>
          <w:color w:val="auto"/>
          <w:sz w:val="22"/>
        </w:rPr>
        <w:t xml:space="preserve"> </w:t>
      </w:r>
      <w:r>
        <w:rPr>
          <w:rFonts w:asciiTheme="majorHAnsi" w:eastAsia="Times New Roman" w:hAnsiTheme="majorHAnsi" w:cs="Times New Roman"/>
          <w:color w:val="auto"/>
          <w:sz w:val="22"/>
        </w:rPr>
        <w:t>r</w:t>
      </w:r>
      <w:r w:rsidRPr="00BC3F90">
        <w:rPr>
          <w:rFonts w:asciiTheme="majorHAnsi" w:eastAsia="Times New Roman" w:hAnsiTheme="majorHAnsi" w:cs="Times New Roman"/>
          <w:color w:val="auto"/>
          <w:sz w:val="22"/>
        </w:rPr>
        <w:t xml:space="preserve">evealed by Electronic Tags. </w:t>
      </w:r>
      <w:proofErr w:type="spellStart"/>
      <w:r w:rsidRPr="00BC3F90">
        <w:rPr>
          <w:rFonts w:asciiTheme="majorHAnsi" w:eastAsia="Times New Roman" w:hAnsiTheme="majorHAnsi" w:cs="Times New Roman"/>
          <w:color w:val="auto"/>
          <w:sz w:val="22"/>
        </w:rPr>
        <w:t>PLoS</w:t>
      </w:r>
      <w:proofErr w:type="spellEnd"/>
      <w:r w:rsidRPr="00BC3F90">
        <w:rPr>
          <w:rFonts w:asciiTheme="majorHAnsi" w:eastAsia="Times New Roman" w:hAnsiTheme="majorHAnsi" w:cs="Times New Roman"/>
          <w:color w:val="auto"/>
          <w:sz w:val="22"/>
        </w:rPr>
        <w:t xml:space="preserve"> ONE 8(5): e63991. doi:10.1371/journal.pone.0063991</w:t>
      </w:r>
    </w:p>
    <w:p w14:paraId="08500B63" w14:textId="77777777" w:rsidR="007F566E" w:rsidRDefault="007F566E" w:rsidP="00836744">
      <w:pPr>
        <w:pStyle w:val="Default"/>
        <w:numPr>
          <w:ilvl w:val="0"/>
          <w:numId w:val="29"/>
        </w:numPr>
        <w:spacing w:before="120" w:after="60"/>
        <w:rPr>
          <w:rFonts w:asciiTheme="majorHAnsi" w:eastAsia="Times New Roman" w:hAnsiTheme="majorHAnsi" w:cs="Times New Roman"/>
          <w:color w:val="auto"/>
          <w:sz w:val="22"/>
        </w:rPr>
      </w:pPr>
      <w:r w:rsidRPr="00836744">
        <w:rPr>
          <w:rFonts w:asciiTheme="majorHAnsi" w:eastAsia="Times New Roman" w:hAnsiTheme="majorHAnsi" w:cs="Times New Roman"/>
          <w:color w:val="auto"/>
          <w:sz w:val="22"/>
        </w:rPr>
        <w:t>ICES</w:t>
      </w:r>
      <w:r>
        <w:rPr>
          <w:rFonts w:asciiTheme="majorHAnsi" w:eastAsia="Times New Roman" w:hAnsiTheme="majorHAnsi" w:cs="Times New Roman"/>
          <w:color w:val="auto"/>
          <w:sz w:val="22"/>
        </w:rPr>
        <w:t xml:space="preserve"> (</w:t>
      </w:r>
      <w:r w:rsidRPr="00836744">
        <w:rPr>
          <w:rFonts w:asciiTheme="majorHAnsi" w:eastAsia="Times New Roman" w:hAnsiTheme="majorHAnsi" w:cs="Times New Roman"/>
          <w:b/>
          <w:color w:val="auto"/>
          <w:sz w:val="22"/>
        </w:rPr>
        <w:t>2015</w:t>
      </w:r>
      <w:r>
        <w:rPr>
          <w:rFonts w:asciiTheme="majorHAnsi" w:eastAsia="Times New Roman" w:hAnsiTheme="majorHAnsi" w:cs="Times New Roman"/>
          <w:color w:val="auto"/>
          <w:sz w:val="22"/>
        </w:rPr>
        <w:t>)</w:t>
      </w:r>
      <w:r w:rsidRPr="00836744">
        <w:rPr>
          <w:rFonts w:asciiTheme="majorHAnsi" w:eastAsia="Times New Roman" w:hAnsiTheme="majorHAnsi" w:cs="Times New Roman"/>
          <w:color w:val="auto"/>
          <w:sz w:val="22"/>
        </w:rPr>
        <w:t xml:space="preserve"> Interim Report of the Working Group on the Biology and Life History of Crabs (WGCRAB), 3–5 November 2015, Brest, France. ICES CM 2015/SSGEPD:11. 43 pp. </w:t>
      </w:r>
    </w:p>
    <w:p w14:paraId="01D18646" w14:textId="77777777" w:rsidR="007F566E" w:rsidRPr="00BC3F90" w:rsidRDefault="007F566E" w:rsidP="007F566E">
      <w:pPr>
        <w:pStyle w:val="Default"/>
        <w:numPr>
          <w:ilvl w:val="0"/>
          <w:numId w:val="29"/>
        </w:numPr>
        <w:spacing w:before="120" w:after="60"/>
        <w:rPr>
          <w:rFonts w:asciiTheme="majorHAnsi" w:eastAsia="Times New Roman" w:hAnsiTheme="majorHAnsi" w:cs="Times New Roman"/>
          <w:color w:val="auto"/>
          <w:sz w:val="22"/>
        </w:rPr>
      </w:pPr>
      <w:r w:rsidRPr="007F566E">
        <w:rPr>
          <w:rFonts w:asciiTheme="majorHAnsi" w:eastAsia="Times New Roman" w:hAnsiTheme="majorHAnsi" w:cs="Times New Roman"/>
          <w:color w:val="auto"/>
          <w:sz w:val="22"/>
        </w:rPr>
        <w:t>Kaiser M (</w:t>
      </w:r>
      <w:r w:rsidRPr="007F566E">
        <w:rPr>
          <w:rFonts w:asciiTheme="majorHAnsi" w:eastAsia="Times New Roman" w:hAnsiTheme="majorHAnsi" w:cs="Times New Roman"/>
          <w:b/>
          <w:color w:val="auto"/>
          <w:sz w:val="22"/>
        </w:rPr>
        <w:t>2014</w:t>
      </w:r>
      <w:r w:rsidRPr="007F566E">
        <w:rPr>
          <w:rFonts w:asciiTheme="majorHAnsi" w:eastAsia="Times New Roman" w:hAnsiTheme="majorHAnsi" w:cs="Times New Roman"/>
          <w:color w:val="auto"/>
          <w:sz w:val="22"/>
        </w:rPr>
        <w:t>) The Conflict between Static Gear and Mobile Gear in Inshore Fisheries: Report prepared for the European Parliament: Policy Department B: Structural and Cohesion Policies - Fisheries</w:t>
      </w:r>
    </w:p>
    <w:p w14:paraId="5E18CC79" w14:textId="77777777" w:rsidR="007F566E" w:rsidRPr="00836744" w:rsidRDefault="007F566E" w:rsidP="00836744">
      <w:pPr>
        <w:pStyle w:val="Default"/>
        <w:numPr>
          <w:ilvl w:val="0"/>
          <w:numId w:val="29"/>
        </w:numPr>
        <w:spacing w:before="120" w:after="60"/>
        <w:rPr>
          <w:rFonts w:asciiTheme="majorHAnsi" w:eastAsia="Times New Roman" w:hAnsiTheme="majorHAnsi" w:cs="Times New Roman"/>
          <w:color w:val="auto"/>
          <w:sz w:val="22"/>
        </w:rPr>
      </w:pPr>
      <w:r>
        <w:rPr>
          <w:rFonts w:asciiTheme="majorHAnsi" w:eastAsia="Times New Roman" w:hAnsiTheme="majorHAnsi" w:cs="Times New Roman"/>
          <w:color w:val="auto"/>
          <w:sz w:val="22"/>
        </w:rPr>
        <w:t xml:space="preserve">Nash B &amp; C </w:t>
      </w:r>
      <w:proofErr w:type="spellStart"/>
      <w:r>
        <w:rPr>
          <w:rFonts w:asciiTheme="majorHAnsi" w:eastAsia="Times New Roman" w:hAnsiTheme="majorHAnsi" w:cs="Times New Roman"/>
          <w:color w:val="auto"/>
          <w:sz w:val="22"/>
        </w:rPr>
        <w:t>Eatock</w:t>
      </w:r>
      <w:proofErr w:type="spellEnd"/>
      <w:r w:rsidRPr="00836744">
        <w:rPr>
          <w:rFonts w:asciiTheme="majorHAnsi" w:eastAsia="Times New Roman" w:hAnsiTheme="majorHAnsi" w:cs="Times New Roman"/>
          <w:color w:val="auto"/>
          <w:sz w:val="22"/>
        </w:rPr>
        <w:t xml:space="preserve"> (</w:t>
      </w:r>
      <w:r w:rsidRPr="00836744">
        <w:rPr>
          <w:rFonts w:asciiTheme="majorHAnsi" w:eastAsia="Times New Roman" w:hAnsiTheme="majorHAnsi" w:cs="Times New Roman"/>
          <w:b/>
          <w:color w:val="auto"/>
          <w:sz w:val="22"/>
        </w:rPr>
        <w:t>201</w:t>
      </w:r>
      <w:r>
        <w:rPr>
          <w:rFonts w:asciiTheme="majorHAnsi" w:eastAsia="Times New Roman" w:hAnsiTheme="majorHAnsi" w:cs="Times New Roman"/>
          <w:b/>
          <w:color w:val="auto"/>
          <w:sz w:val="22"/>
        </w:rPr>
        <w:t>3</w:t>
      </w:r>
      <w:r w:rsidRPr="00836744">
        <w:rPr>
          <w:rFonts w:asciiTheme="majorHAnsi" w:eastAsia="Times New Roman" w:hAnsiTheme="majorHAnsi" w:cs="Times New Roman"/>
          <w:color w:val="auto"/>
          <w:sz w:val="22"/>
        </w:rPr>
        <w:t xml:space="preserve">) Landings per unit effort for Edible crab, </w:t>
      </w:r>
      <w:r w:rsidRPr="00836744">
        <w:rPr>
          <w:rFonts w:asciiTheme="majorHAnsi" w:eastAsia="Times New Roman" w:hAnsiTheme="majorHAnsi" w:cs="Times New Roman"/>
          <w:i/>
          <w:color w:val="auto"/>
          <w:sz w:val="22"/>
        </w:rPr>
        <w:t>Cancer pagurus</w:t>
      </w:r>
      <w:r w:rsidRPr="00836744">
        <w:rPr>
          <w:rFonts w:asciiTheme="majorHAnsi" w:eastAsia="Times New Roman" w:hAnsiTheme="majorHAnsi" w:cs="Times New Roman"/>
          <w:color w:val="auto"/>
          <w:sz w:val="22"/>
        </w:rPr>
        <w:t>, within the Cornwall Inshore Fisheries and Conservation Authority District for 2011</w:t>
      </w:r>
      <w:r>
        <w:rPr>
          <w:rFonts w:asciiTheme="majorHAnsi" w:eastAsia="Times New Roman" w:hAnsiTheme="majorHAnsi" w:cs="Times New Roman"/>
          <w:color w:val="auto"/>
          <w:sz w:val="22"/>
        </w:rPr>
        <w:t>; Falmouth Marine School</w:t>
      </w:r>
    </w:p>
    <w:p w14:paraId="78691BC4" w14:textId="77777777" w:rsidR="007F566E" w:rsidRPr="00836744" w:rsidRDefault="007F566E" w:rsidP="00836744">
      <w:pPr>
        <w:pStyle w:val="Default"/>
        <w:numPr>
          <w:ilvl w:val="0"/>
          <w:numId w:val="29"/>
        </w:numPr>
        <w:spacing w:before="120" w:after="60"/>
        <w:rPr>
          <w:rFonts w:asciiTheme="majorHAnsi" w:eastAsia="Times New Roman" w:hAnsiTheme="majorHAnsi" w:cs="Times New Roman"/>
          <w:color w:val="auto"/>
          <w:sz w:val="22"/>
        </w:rPr>
      </w:pPr>
      <w:r>
        <w:rPr>
          <w:rFonts w:asciiTheme="majorHAnsi" w:eastAsia="Times New Roman" w:hAnsiTheme="majorHAnsi" w:cs="Times New Roman"/>
          <w:color w:val="auto"/>
          <w:sz w:val="22"/>
        </w:rPr>
        <w:t>Nautilus Consultants (</w:t>
      </w:r>
      <w:r w:rsidRPr="00BC3F90">
        <w:rPr>
          <w:rFonts w:asciiTheme="majorHAnsi" w:eastAsia="Times New Roman" w:hAnsiTheme="majorHAnsi" w:cs="Times New Roman"/>
          <w:b/>
          <w:color w:val="auto"/>
          <w:sz w:val="22"/>
        </w:rPr>
        <w:t>2009</w:t>
      </w:r>
      <w:r>
        <w:rPr>
          <w:rFonts w:asciiTheme="majorHAnsi" w:eastAsia="Times New Roman" w:hAnsiTheme="majorHAnsi" w:cs="Times New Roman"/>
          <w:color w:val="auto"/>
          <w:sz w:val="22"/>
        </w:rPr>
        <w:t xml:space="preserve">) </w:t>
      </w:r>
      <w:r w:rsidRPr="00BC3F90">
        <w:rPr>
          <w:rFonts w:asciiTheme="majorHAnsi" w:eastAsia="Times New Roman" w:hAnsiTheme="majorHAnsi" w:cs="Times New Roman"/>
          <w:color w:val="auto"/>
          <w:sz w:val="22"/>
        </w:rPr>
        <w:t>Future Management of Brown Crab in UK and Ireland</w:t>
      </w:r>
      <w:r>
        <w:rPr>
          <w:rFonts w:asciiTheme="majorHAnsi" w:eastAsia="Times New Roman" w:hAnsiTheme="majorHAnsi" w:cs="Times New Roman"/>
          <w:color w:val="auto"/>
          <w:sz w:val="22"/>
        </w:rPr>
        <w:t xml:space="preserve">; report to </w:t>
      </w:r>
      <w:r w:rsidRPr="00BC3F90">
        <w:rPr>
          <w:rFonts w:asciiTheme="majorHAnsi" w:eastAsia="Times New Roman" w:hAnsiTheme="majorHAnsi" w:cs="Times New Roman"/>
          <w:color w:val="auto"/>
          <w:sz w:val="22"/>
        </w:rPr>
        <w:t xml:space="preserve">The UK &amp; ROI Brown Crab Working Group </w:t>
      </w:r>
      <w:r w:rsidRPr="00836744">
        <w:rPr>
          <w:rFonts w:asciiTheme="majorHAnsi" w:eastAsia="Times New Roman" w:hAnsiTheme="majorHAnsi" w:cs="Times New Roman"/>
          <w:color w:val="auto"/>
          <w:sz w:val="22"/>
        </w:rPr>
        <w:t>NFFO (</w:t>
      </w:r>
      <w:r w:rsidRPr="00836744">
        <w:rPr>
          <w:rFonts w:asciiTheme="majorHAnsi" w:eastAsia="Times New Roman" w:hAnsiTheme="majorHAnsi" w:cs="Times New Roman"/>
          <w:b/>
          <w:color w:val="auto"/>
          <w:sz w:val="22"/>
        </w:rPr>
        <w:t>2010</w:t>
      </w:r>
      <w:r w:rsidRPr="00836744">
        <w:rPr>
          <w:rFonts w:asciiTheme="majorHAnsi" w:eastAsia="Times New Roman" w:hAnsiTheme="majorHAnsi" w:cs="Times New Roman"/>
          <w:color w:val="auto"/>
          <w:sz w:val="22"/>
        </w:rPr>
        <w:t>) Effort Limitation in the Shellfish Fisheries: NFFO Policy Brief</w:t>
      </w:r>
    </w:p>
    <w:p w14:paraId="735B2EED" w14:textId="77777777" w:rsidR="007F566E" w:rsidRDefault="007F566E" w:rsidP="00836744">
      <w:pPr>
        <w:pStyle w:val="Default"/>
        <w:numPr>
          <w:ilvl w:val="0"/>
          <w:numId w:val="29"/>
        </w:numPr>
        <w:spacing w:before="120" w:after="60"/>
        <w:rPr>
          <w:rFonts w:asciiTheme="majorHAnsi" w:eastAsia="Times New Roman" w:hAnsiTheme="majorHAnsi" w:cs="Times New Roman"/>
          <w:color w:val="auto"/>
          <w:sz w:val="22"/>
        </w:rPr>
      </w:pPr>
      <w:r w:rsidRPr="00836744">
        <w:rPr>
          <w:rFonts w:asciiTheme="majorHAnsi" w:eastAsia="Times New Roman" w:hAnsiTheme="majorHAnsi" w:cs="Times New Roman"/>
          <w:color w:val="auto"/>
          <w:sz w:val="22"/>
        </w:rPr>
        <w:t>Rees A (</w:t>
      </w:r>
      <w:r w:rsidRPr="00BC3F90">
        <w:rPr>
          <w:rFonts w:asciiTheme="majorHAnsi" w:eastAsia="Times New Roman" w:hAnsiTheme="majorHAnsi" w:cs="Times New Roman"/>
          <w:b/>
          <w:color w:val="auto"/>
          <w:sz w:val="22"/>
        </w:rPr>
        <w:t>2015</w:t>
      </w:r>
      <w:r w:rsidRPr="00836744">
        <w:rPr>
          <w:rFonts w:asciiTheme="majorHAnsi" w:eastAsia="Times New Roman" w:hAnsiTheme="majorHAnsi" w:cs="Times New Roman"/>
          <w:color w:val="auto"/>
          <w:sz w:val="22"/>
        </w:rPr>
        <w:t>) The Lyme Bay Experimental potting project -</w:t>
      </w:r>
      <w:r>
        <w:rPr>
          <w:rFonts w:asciiTheme="majorHAnsi" w:eastAsia="Times New Roman" w:hAnsiTheme="majorHAnsi" w:cs="Times New Roman"/>
          <w:color w:val="auto"/>
          <w:sz w:val="22"/>
        </w:rPr>
        <w:t xml:space="preserve"> </w:t>
      </w:r>
      <w:r w:rsidRPr="00836744">
        <w:rPr>
          <w:rFonts w:asciiTheme="majorHAnsi" w:eastAsia="Times New Roman" w:hAnsiTheme="majorHAnsi" w:cs="Times New Roman"/>
          <w:color w:val="auto"/>
          <w:sz w:val="22"/>
        </w:rPr>
        <w:t xml:space="preserve">A short summary of </w:t>
      </w:r>
      <w:r w:rsidRPr="00836744">
        <w:rPr>
          <w:rFonts w:asciiTheme="majorHAnsi" w:eastAsia="Times New Roman" w:hAnsiTheme="majorHAnsi" w:cs="Times New Roman"/>
          <w:i/>
          <w:color w:val="auto"/>
          <w:sz w:val="22"/>
        </w:rPr>
        <w:t>Cancer pagurus</w:t>
      </w:r>
      <w:r w:rsidRPr="00836744">
        <w:rPr>
          <w:rFonts w:asciiTheme="majorHAnsi" w:eastAsia="Times New Roman" w:hAnsiTheme="majorHAnsi" w:cs="Times New Roman"/>
          <w:color w:val="auto"/>
          <w:sz w:val="22"/>
        </w:rPr>
        <w:t>; Report to Devon and Severn IFCA</w:t>
      </w:r>
    </w:p>
    <w:p w14:paraId="0C243C8D" w14:textId="77777777" w:rsidR="007F566E" w:rsidRDefault="007F566E" w:rsidP="00836744">
      <w:pPr>
        <w:pStyle w:val="Default"/>
        <w:numPr>
          <w:ilvl w:val="0"/>
          <w:numId w:val="29"/>
        </w:numPr>
        <w:spacing w:before="120" w:after="60"/>
        <w:rPr>
          <w:rFonts w:asciiTheme="majorHAnsi" w:eastAsia="Times New Roman" w:hAnsiTheme="majorHAnsi" w:cs="Times New Roman"/>
          <w:color w:val="auto"/>
          <w:sz w:val="22"/>
        </w:rPr>
      </w:pPr>
      <w:r w:rsidRPr="00AE65E1">
        <w:rPr>
          <w:rFonts w:asciiTheme="majorHAnsi" w:eastAsia="Times New Roman" w:hAnsiTheme="majorHAnsi" w:cs="Times New Roman"/>
          <w:color w:val="auto"/>
          <w:sz w:val="22"/>
        </w:rPr>
        <w:t>Robert Blyth</w:t>
      </w:r>
      <w:r>
        <w:rPr>
          <w:rFonts w:asciiTheme="majorHAnsi" w:eastAsia="Times New Roman" w:hAnsiTheme="majorHAnsi" w:cs="Times New Roman"/>
          <w:color w:val="auto"/>
          <w:sz w:val="22"/>
        </w:rPr>
        <w:t xml:space="preserve">, R., Kaiser M, Hart P, &amp; </w:t>
      </w:r>
      <w:r w:rsidRPr="00AE65E1">
        <w:rPr>
          <w:rFonts w:asciiTheme="majorHAnsi" w:eastAsia="Times New Roman" w:hAnsiTheme="majorHAnsi" w:cs="Times New Roman"/>
          <w:color w:val="auto"/>
          <w:sz w:val="22"/>
        </w:rPr>
        <w:t>Edwards-Jones</w:t>
      </w:r>
      <w:r>
        <w:rPr>
          <w:rFonts w:asciiTheme="majorHAnsi" w:eastAsia="Times New Roman" w:hAnsiTheme="majorHAnsi" w:cs="Times New Roman"/>
          <w:color w:val="auto"/>
          <w:sz w:val="22"/>
        </w:rPr>
        <w:t xml:space="preserve"> G (</w:t>
      </w:r>
      <w:r w:rsidRPr="00AE65E1">
        <w:rPr>
          <w:rFonts w:asciiTheme="majorHAnsi" w:eastAsia="Times New Roman" w:hAnsiTheme="majorHAnsi" w:cs="Times New Roman"/>
          <w:b/>
          <w:color w:val="auto"/>
          <w:sz w:val="22"/>
        </w:rPr>
        <w:t>2003</w:t>
      </w:r>
      <w:r>
        <w:rPr>
          <w:rFonts w:asciiTheme="majorHAnsi" w:eastAsia="Times New Roman" w:hAnsiTheme="majorHAnsi" w:cs="Times New Roman"/>
          <w:color w:val="auto"/>
          <w:sz w:val="22"/>
        </w:rPr>
        <w:t>) presentation on T</w:t>
      </w:r>
      <w:r w:rsidRPr="00AE65E1">
        <w:rPr>
          <w:rFonts w:asciiTheme="majorHAnsi" w:eastAsia="Times New Roman" w:hAnsiTheme="majorHAnsi" w:cs="Times New Roman"/>
          <w:color w:val="auto"/>
          <w:sz w:val="22"/>
        </w:rPr>
        <w:t>he Inshore Potting Agreement:</w:t>
      </w:r>
      <w:r>
        <w:rPr>
          <w:rFonts w:asciiTheme="majorHAnsi" w:eastAsia="Times New Roman" w:hAnsiTheme="majorHAnsi" w:cs="Times New Roman"/>
          <w:color w:val="auto"/>
          <w:sz w:val="22"/>
        </w:rPr>
        <w:t xml:space="preserve"> </w:t>
      </w:r>
      <w:r w:rsidRPr="00AE65E1">
        <w:rPr>
          <w:rFonts w:asciiTheme="majorHAnsi" w:eastAsia="Times New Roman" w:hAnsiTheme="majorHAnsi" w:cs="Times New Roman"/>
          <w:color w:val="auto"/>
          <w:sz w:val="22"/>
        </w:rPr>
        <w:t>A Model For Inshore Management</w:t>
      </w:r>
      <w:r>
        <w:rPr>
          <w:rFonts w:asciiTheme="majorHAnsi" w:eastAsia="Times New Roman" w:hAnsiTheme="majorHAnsi" w:cs="Times New Roman"/>
          <w:color w:val="auto"/>
          <w:sz w:val="22"/>
        </w:rPr>
        <w:t xml:space="preserve"> - </w:t>
      </w:r>
      <w:hyperlink r:id="rId30" w:history="1">
        <w:r w:rsidRPr="00AC0A89">
          <w:rPr>
            <w:rStyle w:val="Hyperlink"/>
            <w:rFonts w:asciiTheme="majorHAnsi" w:eastAsia="Times New Roman" w:hAnsiTheme="majorHAnsi" w:cs="Times New Roman"/>
            <w:sz w:val="22"/>
          </w:rPr>
          <w:t>http://www.shellfish.org.uk/files/Conferences/Pre-2010/the_inshore_potting_agreement_a_model_for_inshore_management_sagb_conference_2003.pdf</w:t>
        </w:r>
      </w:hyperlink>
    </w:p>
    <w:p w14:paraId="40E555E5" w14:textId="77777777" w:rsidR="00A8419F" w:rsidRPr="00C34CB8" w:rsidRDefault="00A8419F" w:rsidP="00A8419F">
      <w:pPr>
        <w:pStyle w:val="Default"/>
        <w:numPr>
          <w:ilvl w:val="0"/>
          <w:numId w:val="29"/>
        </w:numPr>
        <w:spacing w:before="120" w:after="60"/>
        <w:rPr>
          <w:rFonts w:asciiTheme="majorHAnsi" w:eastAsia="Times New Roman" w:hAnsiTheme="majorHAnsi" w:cs="Times New Roman"/>
          <w:color w:val="auto"/>
          <w:sz w:val="22"/>
        </w:rPr>
      </w:pPr>
      <w:r w:rsidRPr="00C34CB8">
        <w:rPr>
          <w:rFonts w:asciiTheme="majorHAnsi" w:eastAsia="Times New Roman" w:hAnsiTheme="majorHAnsi" w:cs="Times New Roman"/>
          <w:color w:val="auto"/>
          <w:sz w:val="22"/>
        </w:rPr>
        <w:t>Seafish (</w:t>
      </w:r>
      <w:r w:rsidRPr="00C34CB8">
        <w:rPr>
          <w:rFonts w:asciiTheme="majorHAnsi" w:eastAsia="Times New Roman" w:hAnsiTheme="majorHAnsi" w:cs="Times New Roman"/>
          <w:b/>
          <w:color w:val="auto"/>
          <w:sz w:val="22"/>
        </w:rPr>
        <w:t>201</w:t>
      </w:r>
      <w:r>
        <w:rPr>
          <w:rFonts w:asciiTheme="majorHAnsi" w:eastAsia="Times New Roman" w:hAnsiTheme="majorHAnsi" w:cs="Times New Roman"/>
          <w:b/>
          <w:color w:val="auto"/>
          <w:sz w:val="22"/>
        </w:rPr>
        <w:t>4</w:t>
      </w:r>
      <w:r w:rsidRPr="00C34CB8">
        <w:rPr>
          <w:rFonts w:asciiTheme="majorHAnsi" w:eastAsia="Times New Roman" w:hAnsiTheme="majorHAnsi" w:cs="Times New Roman"/>
          <w:color w:val="auto"/>
          <w:sz w:val="22"/>
        </w:rPr>
        <w:t>) Responsible Sourcing - Ecological Risk Assessment of the effects of fishing for South West fisheries</w:t>
      </w:r>
      <w:r>
        <w:rPr>
          <w:rFonts w:asciiTheme="majorHAnsi" w:eastAsia="Times New Roman" w:hAnsiTheme="majorHAnsi" w:cs="Times New Roman"/>
          <w:color w:val="auto"/>
          <w:sz w:val="22"/>
        </w:rPr>
        <w:t xml:space="preserve"> - </w:t>
      </w:r>
      <w:r w:rsidRPr="00C34CB8">
        <w:rPr>
          <w:rFonts w:asciiTheme="majorHAnsi" w:eastAsia="Times New Roman" w:hAnsiTheme="majorHAnsi" w:cs="Times New Roman"/>
          <w:color w:val="auto"/>
          <w:sz w:val="22"/>
        </w:rPr>
        <w:t xml:space="preserve">ICES Divisions VII </w:t>
      </w:r>
      <w:proofErr w:type="spellStart"/>
      <w:r w:rsidRPr="00C34CB8">
        <w:rPr>
          <w:rFonts w:asciiTheme="majorHAnsi" w:eastAsia="Times New Roman" w:hAnsiTheme="majorHAnsi" w:cs="Times New Roman"/>
          <w:color w:val="auto"/>
          <w:sz w:val="22"/>
        </w:rPr>
        <w:t>e,f,g</w:t>
      </w:r>
      <w:proofErr w:type="spellEnd"/>
      <w:r w:rsidRPr="00C34CB8">
        <w:rPr>
          <w:rFonts w:asciiTheme="majorHAnsi" w:eastAsia="Times New Roman" w:hAnsiTheme="majorHAnsi" w:cs="Times New Roman"/>
          <w:color w:val="auto"/>
          <w:sz w:val="22"/>
        </w:rPr>
        <w:t xml:space="preserve"> and h </w:t>
      </w:r>
    </w:p>
    <w:p w14:paraId="6533A9D6" w14:textId="77777777" w:rsidR="007F566E" w:rsidRPr="007C1313" w:rsidRDefault="007F566E" w:rsidP="00836744">
      <w:pPr>
        <w:pStyle w:val="Default"/>
        <w:numPr>
          <w:ilvl w:val="0"/>
          <w:numId w:val="29"/>
        </w:numPr>
        <w:spacing w:before="120" w:after="60"/>
        <w:rPr>
          <w:rFonts w:asciiTheme="majorHAnsi" w:eastAsia="Times New Roman" w:hAnsiTheme="majorHAnsi" w:cs="Times New Roman"/>
          <w:color w:val="auto"/>
          <w:sz w:val="22"/>
        </w:rPr>
      </w:pPr>
      <w:r w:rsidRPr="007C1313">
        <w:rPr>
          <w:rFonts w:asciiTheme="majorHAnsi" w:eastAsia="Times New Roman" w:hAnsiTheme="majorHAnsi" w:cs="Times New Roman"/>
          <w:color w:val="auto"/>
          <w:sz w:val="22"/>
        </w:rPr>
        <w:t>Seafish (</w:t>
      </w:r>
      <w:r w:rsidRPr="00AE65E1">
        <w:rPr>
          <w:rFonts w:asciiTheme="majorHAnsi" w:eastAsia="Times New Roman" w:hAnsiTheme="majorHAnsi" w:cs="Times New Roman"/>
          <w:b/>
          <w:color w:val="auto"/>
          <w:sz w:val="22"/>
        </w:rPr>
        <w:t>2016</w:t>
      </w:r>
      <w:r w:rsidRPr="007C1313">
        <w:rPr>
          <w:rFonts w:asciiTheme="majorHAnsi" w:eastAsia="Times New Roman" w:hAnsiTheme="majorHAnsi" w:cs="Times New Roman"/>
          <w:color w:val="auto"/>
          <w:sz w:val="22"/>
        </w:rPr>
        <w:t xml:space="preserve">) </w:t>
      </w:r>
      <w:hyperlink r:id="rId31" w:history="1">
        <w:r w:rsidRPr="007C1313">
          <w:rPr>
            <w:rFonts w:asciiTheme="majorHAnsi" w:eastAsia="Times New Roman" w:hAnsiTheme="majorHAnsi" w:cs="Times New Roman"/>
            <w:color w:val="auto"/>
            <w:sz w:val="22"/>
          </w:rPr>
          <w:t>Risk Assessment for Sourcing Seafood (RASS)</w:t>
        </w:r>
        <w:r>
          <w:rPr>
            <w:rFonts w:asciiTheme="majorHAnsi" w:eastAsia="Times New Roman" w:hAnsiTheme="majorHAnsi" w:cs="Times New Roman"/>
            <w:color w:val="auto"/>
            <w:sz w:val="22"/>
          </w:rPr>
          <w:t xml:space="preserve">: </w:t>
        </w:r>
      </w:hyperlink>
      <w:r w:rsidRPr="007C1313">
        <w:rPr>
          <w:rFonts w:asciiTheme="majorHAnsi" w:eastAsia="Times New Roman" w:hAnsiTheme="majorHAnsi" w:cs="Times New Roman"/>
          <w:color w:val="auto"/>
          <w:sz w:val="22"/>
        </w:rPr>
        <w:t xml:space="preserve"> Edible Crab in the Celtic Sea, pots</w:t>
      </w:r>
    </w:p>
    <w:p w14:paraId="0A0774ED" w14:textId="77777777" w:rsidR="007F566E" w:rsidRDefault="007F566E" w:rsidP="00836744">
      <w:pPr>
        <w:pStyle w:val="Default"/>
        <w:numPr>
          <w:ilvl w:val="0"/>
          <w:numId w:val="29"/>
        </w:numPr>
        <w:spacing w:before="120" w:after="60"/>
        <w:rPr>
          <w:rFonts w:asciiTheme="majorHAnsi" w:eastAsia="Times New Roman" w:hAnsiTheme="majorHAnsi" w:cs="Times New Roman"/>
          <w:color w:val="auto"/>
          <w:sz w:val="22"/>
        </w:rPr>
      </w:pPr>
      <w:r w:rsidRPr="007C1313">
        <w:rPr>
          <w:rFonts w:asciiTheme="majorHAnsi" w:eastAsia="Times New Roman" w:hAnsiTheme="majorHAnsi" w:cs="Times New Roman"/>
          <w:color w:val="auto"/>
          <w:sz w:val="22"/>
        </w:rPr>
        <w:lastRenderedPageBreak/>
        <w:t>Seafish (</w:t>
      </w:r>
      <w:r w:rsidRPr="00AE65E1">
        <w:rPr>
          <w:rFonts w:asciiTheme="majorHAnsi" w:eastAsia="Times New Roman" w:hAnsiTheme="majorHAnsi" w:cs="Times New Roman"/>
          <w:b/>
          <w:color w:val="auto"/>
          <w:sz w:val="22"/>
        </w:rPr>
        <w:t>2016</w:t>
      </w:r>
      <w:r w:rsidRPr="007C1313">
        <w:rPr>
          <w:rFonts w:asciiTheme="majorHAnsi" w:eastAsia="Times New Roman" w:hAnsiTheme="majorHAnsi" w:cs="Times New Roman"/>
          <w:color w:val="auto"/>
          <w:sz w:val="22"/>
        </w:rPr>
        <w:t xml:space="preserve">) </w:t>
      </w:r>
      <w:hyperlink r:id="rId32" w:history="1">
        <w:r w:rsidRPr="007C1313">
          <w:rPr>
            <w:rFonts w:asciiTheme="majorHAnsi" w:eastAsia="Times New Roman" w:hAnsiTheme="majorHAnsi" w:cs="Times New Roman"/>
            <w:color w:val="auto"/>
            <w:sz w:val="22"/>
          </w:rPr>
          <w:t>Risk Assessment for Sourcing Seafood (RASS)</w:t>
        </w:r>
        <w:r>
          <w:rPr>
            <w:rFonts w:asciiTheme="majorHAnsi" w:eastAsia="Times New Roman" w:hAnsiTheme="majorHAnsi" w:cs="Times New Roman"/>
            <w:color w:val="auto"/>
            <w:sz w:val="22"/>
          </w:rPr>
          <w:t xml:space="preserve">: </w:t>
        </w:r>
      </w:hyperlink>
      <w:r w:rsidRPr="007C1313">
        <w:rPr>
          <w:rFonts w:asciiTheme="majorHAnsi" w:eastAsia="Times New Roman" w:hAnsiTheme="majorHAnsi" w:cs="Times New Roman"/>
          <w:color w:val="auto"/>
          <w:sz w:val="22"/>
        </w:rPr>
        <w:t>Edible Crab in the Western English Channel, Pots</w:t>
      </w:r>
      <w:r>
        <w:rPr>
          <w:rFonts w:asciiTheme="majorHAnsi" w:eastAsia="Times New Roman" w:hAnsiTheme="majorHAnsi" w:cs="Times New Roman"/>
          <w:color w:val="auto"/>
          <w:sz w:val="22"/>
        </w:rPr>
        <w:t>.</w:t>
      </w:r>
    </w:p>
    <w:p w14:paraId="45436BFF" w14:textId="77777777" w:rsidR="00C34CB8" w:rsidRDefault="007F566E" w:rsidP="00836744">
      <w:pPr>
        <w:pStyle w:val="ListParagraph"/>
        <w:numPr>
          <w:ilvl w:val="0"/>
          <w:numId w:val="29"/>
        </w:numPr>
        <w:spacing w:before="120" w:after="60"/>
      </w:pPr>
      <w:r>
        <w:t xml:space="preserve">Southall T. D, </w:t>
      </w:r>
      <w:proofErr w:type="spellStart"/>
      <w:r>
        <w:t>Cappell</w:t>
      </w:r>
      <w:proofErr w:type="spellEnd"/>
      <w:r>
        <w:t xml:space="preserve"> R, </w:t>
      </w:r>
      <w:proofErr w:type="spellStart"/>
      <w:r>
        <w:t>Hambrey</w:t>
      </w:r>
      <w:proofErr w:type="spellEnd"/>
      <w:r>
        <w:t xml:space="preserve"> J.B, </w:t>
      </w:r>
      <w:proofErr w:type="spellStart"/>
      <w:r>
        <w:t>Hervas</w:t>
      </w:r>
      <w:proofErr w:type="spellEnd"/>
      <w:r>
        <w:t xml:space="preserve"> A, Huntington T.C , Medley P.A.H, Nimmo F, Pfeiffer N &amp; Tully O. (</w:t>
      </w:r>
      <w:r w:rsidRPr="00836744">
        <w:rPr>
          <w:b/>
        </w:rPr>
        <w:t>2013</w:t>
      </w:r>
      <w:r>
        <w:t xml:space="preserve">). Project Inshore Stage 2 Report. Prepared for Seafish by Food Certification International Ltd. Available for download (link verified October 2016) </w:t>
      </w:r>
    </w:p>
    <w:p w14:paraId="5B1D5714" w14:textId="4692FE63" w:rsidR="007F566E" w:rsidRDefault="006B4F3C" w:rsidP="00C34CB8">
      <w:pPr>
        <w:spacing w:before="120" w:after="60"/>
        <w:ind w:left="360"/>
      </w:pPr>
      <w:hyperlink r:id="rId33" w:history="1">
        <w:r w:rsidR="007F566E" w:rsidRPr="00AE65E1">
          <w:rPr>
            <w:rStyle w:val="Hyperlink"/>
          </w:rPr>
          <w:t>http://www.seafish.org/media/921067/2013.07.23_project_inshore_s2_v5.pdf</w:t>
        </w:r>
      </w:hyperlink>
      <w:r w:rsidR="007F566E" w:rsidRPr="00AE65E1">
        <w:t xml:space="preserve"> </w:t>
      </w:r>
    </w:p>
    <w:p w14:paraId="0FA26FD6" w14:textId="77777777" w:rsidR="007F566E" w:rsidRPr="00BC3F90" w:rsidRDefault="007F566E" w:rsidP="00BC3F90">
      <w:pPr>
        <w:pStyle w:val="Default"/>
        <w:numPr>
          <w:ilvl w:val="0"/>
          <w:numId w:val="29"/>
        </w:numPr>
        <w:spacing w:before="120" w:after="60"/>
        <w:rPr>
          <w:rFonts w:asciiTheme="majorHAnsi" w:eastAsia="Times New Roman" w:hAnsiTheme="majorHAnsi" w:cs="Times New Roman"/>
          <w:color w:val="auto"/>
          <w:sz w:val="22"/>
        </w:rPr>
      </w:pPr>
      <w:r w:rsidRPr="00BC3F90">
        <w:rPr>
          <w:rFonts w:asciiTheme="majorHAnsi" w:eastAsia="Times New Roman" w:hAnsiTheme="majorHAnsi" w:cs="Times New Roman"/>
          <w:color w:val="auto"/>
          <w:sz w:val="22"/>
        </w:rPr>
        <w:t xml:space="preserve">Tully O, M Robinson, E O'Keefe, R Cosgrove, O Doyle &amp; B </w:t>
      </w:r>
      <w:proofErr w:type="spellStart"/>
      <w:r w:rsidRPr="00BC3F90">
        <w:rPr>
          <w:rFonts w:asciiTheme="majorHAnsi" w:eastAsia="Times New Roman" w:hAnsiTheme="majorHAnsi" w:cs="Times New Roman"/>
          <w:color w:val="auto"/>
          <w:sz w:val="22"/>
        </w:rPr>
        <w:t>Lehane</w:t>
      </w:r>
      <w:proofErr w:type="spellEnd"/>
      <w:r w:rsidRPr="00BC3F90">
        <w:rPr>
          <w:rFonts w:asciiTheme="majorHAnsi" w:eastAsia="Times New Roman" w:hAnsiTheme="majorHAnsi" w:cs="Times New Roman"/>
          <w:color w:val="auto"/>
          <w:sz w:val="22"/>
        </w:rPr>
        <w:t xml:space="preserve"> (</w:t>
      </w:r>
      <w:r w:rsidRPr="00BC3F90">
        <w:rPr>
          <w:rFonts w:asciiTheme="majorHAnsi" w:eastAsia="Times New Roman" w:hAnsiTheme="majorHAnsi" w:cs="Times New Roman"/>
          <w:b/>
          <w:color w:val="auto"/>
          <w:sz w:val="22"/>
        </w:rPr>
        <w:t>2006</w:t>
      </w:r>
      <w:r w:rsidRPr="00BC3F90">
        <w:rPr>
          <w:rFonts w:asciiTheme="majorHAnsi" w:eastAsia="Times New Roman" w:hAnsiTheme="majorHAnsi" w:cs="Times New Roman"/>
          <w:color w:val="auto"/>
          <w:sz w:val="22"/>
        </w:rPr>
        <w:t xml:space="preserve">) The Brown Crab (Cancer pagurus L.) Fishery: Analysis of the resource in 2004 - 2005. Fisheries Resource Series, </w:t>
      </w:r>
      <w:proofErr w:type="spellStart"/>
      <w:r w:rsidRPr="00BC3F90">
        <w:rPr>
          <w:rFonts w:asciiTheme="majorHAnsi" w:eastAsia="Times New Roman" w:hAnsiTheme="majorHAnsi" w:cs="Times New Roman"/>
          <w:color w:val="auto"/>
          <w:sz w:val="22"/>
        </w:rPr>
        <w:t>Bord</w:t>
      </w:r>
      <w:proofErr w:type="spellEnd"/>
      <w:r w:rsidRPr="00BC3F90">
        <w:rPr>
          <w:rFonts w:asciiTheme="majorHAnsi" w:eastAsia="Times New Roman" w:hAnsiTheme="majorHAnsi" w:cs="Times New Roman"/>
          <w:color w:val="auto"/>
          <w:sz w:val="22"/>
        </w:rPr>
        <w:t xml:space="preserve"> </w:t>
      </w:r>
      <w:proofErr w:type="spellStart"/>
      <w:r w:rsidRPr="00BC3F90">
        <w:rPr>
          <w:rFonts w:asciiTheme="majorHAnsi" w:eastAsia="Times New Roman" w:hAnsiTheme="majorHAnsi" w:cs="Times New Roman"/>
          <w:color w:val="auto"/>
          <w:sz w:val="22"/>
        </w:rPr>
        <w:t>Iascaigh</w:t>
      </w:r>
      <w:proofErr w:type="spellEnd"/>
      <w:r w:rsidRPr="00BC3F90">
        <w:rPr>
          <w:rFonts w:asciiTheme="majorHAnsi" w:eastAsia="Times New Roman" w:hAnsiTheme="majorHAnsi" w:cs="Times New Roman"/>
          <w:color w:val="auto"/>
          <w:sz w:val="22"/>
        </w:rPr>
        <w:t xml:space="preserve"> </w:t>
      </w:r>
      <w:proofErr w:type="spellStart"/>
      <w:r w:rsidRPr="00BC3F90">
        <w:rPr>
          <w:rFonts w:asciiTheme="majorHAnsi" w:eastAsia="Times New Roman" w:hAnsiTheme="majorHAnsi" w:cs="Times New Roman"/>
          <w:color w:val="auto"/>
          <w:sz w:val="22"/>
        </w:rPr>
        <w:t>Mhara</w:t>
      </w:r>
      <w:proofErr w:type="spellEnd"/>
      <w:r w:rsidRPr="00BC3F90">
        <w:rPr>
          <w:rFonts w:asciiTheme="majorHAnsi" w:eastAsia="Times New Roman" w:hAnsiTheme="majorHAnsi" w:cs="Times New Roman"/>
          <w:color w:val="auto"/>
          <w:sz w:val="22"/>
        </w:rPr>
        <w:t xml:space="preserve"> (Irish Sea Fisheries Board), Dun Laoghaire, Ireland Vol. 4, 2006, 48pp.</w:t>
      </w:r>
    </w:p>
    <w:p w14:paraId="73235CF8" w14:textId="77777777" w:rsidR="003346A9" w:rsidRPr="00555063" w:rsidRDefault="003346A9" w:rsidP="003346A9">
      <w:pPr>
        <w:pStyle w:val="Default"/>
        <w:numPr>
          <w:ilvl w:val="0"/>
          <w:numId w:val="29"/>
        </w:numPr>
        <w:spacing w:before="120" w:after="60"/>
        <w:rPr>
          <w:rFonts w:asciiTheme="majorHAnsi" w:eastAsia="Times New Roman" w:hAnsiTheme="majorHAnsi" w:cs="Times New Roman"/>
          <w:color w:val="auto"/>
          <w:sz w:val="22"/>
        </w:rPr>
      </w:pPr>
      <w:r w:rsidRPr="00555063">
        <w:rPr>
          <w:rFonts w:asciiTheme="majorHAnsi" w:eastAsia="Times New Roman" w:hAnsiTheme="majorHAnsi" w:cs="Times New Roman"/>
          <w:color w:val="auto"/>
          <w:sz w:val="22"/>
        </w:rPr>
        <w:t>Walmsley S, A Bowles, C Eno, &amp; N West (</w:t>
      </w:r>
      <w:r w:rsidRPr="00555063">
        <w:rPr>
          <w:rFonts w:asciiTheme="majorHAnsi" w:eastAsia="Times New Roman" w:hAnsiTheme="majorHAnsi" w:cs="Times New Roman"/>
          <w:b/>
          <w:color w:val="auto"/>
          <w:sz w:val="22"/>
        </w:rPr>
        <w:t>2015</w:t>
      </w:r>
      <w:r w:rsidRPr="00555063">
        <w:rPr>
          <w:rFonts w:asciiTheme="majorHAnsi" w:eastAsia="Times New Roman" w:hAnsiTheme="majorHAnsi" w:cs="Times New Roman"/>
          <w:color w:val="auto"/>
          <w:sz w:val="22"/>
        </w:rPr>
        <w:t>) Evidence for Management of Potting Impacts on Designated Features – MMO Contract Reference</w:t>
      </w:r>
      <w:r>
        <w:rPr>
          <w:rFonts w:asciiTheme="majorHAnsi" w:eastAsia="Times New Roman" w:hAnsiTheme="majorHAnsi" w:cs="Times New Roman"/>
          <w:color w:val="auto"/>
          <w:sz w:val="22"/>
        </w:rPr>
        <w:t xml:space="preserve"> </w:t>
      </w:r>
      <w:r w:rsidRPr="00555063">
        <w:rPr>
          <w:rFonts w:asciiTheme="majorHAnsi" w:eastAsia="Times New Roman" w:hAnsiTheme="majorHAnsi" w:cs="Times New Roman"/>
          <w:color w:val="auto"/>
          <w:sz w:val="22"/>
        </w:rPr>
        <w:t xml:space="preserve">1086 </w:t>
      </w:r>
    </w:p>
    <w:p w14:paraId="55F44AC3" w14:textId="77777777" w:rsidR="00BC3F90" w:rsidRPr="00BC3F90" w:rsidRDefault="00BC3F90" w:rsidP="00BC3F90">
      <w:pPr>
        <w:autoSpaceDE w:val="0"/>
        <w:autoSpaceDN w:val="0"/>
        <w:adjustRightInd w:val="0"/>
        <w:spacing w:after="0"/>
        <w:jc w:val="left"/>
        <w:rPr>
          <w:rFonts w:ascii="Arial" w:hAnsi="Arial" w:cs="Arial"/>
          <w:color w:val="000000"/>
          <w:sz w:val="24"/>
        </w:rPr>
      </w:pPr>
    </w:p>
    <w:p w14:paraId="6A2549CC" w14:textId="65DF8D3F" w:rsidR="00BC3F90" w:rsidRPr="008C1DF3" w:rsidRDefault="00BC3F90" w:rsidP="003A74F3">
      <w:pPr>
        <w:pStyle w:val="Default"/>
        <w:spacing w:before="120" w:after="60"/>
        <w:rPr>
          <w:rFonts w:asciiTheme="majorHAnsi" w:eastAsia="Times New Roman" w:hAnsiTheme="majorHAnsi" w:cs="Times New Roman"/>
          <w:color w:val="auto"/>
          <w:sz w:val="22"/>
        </w:rPr>
      </w:pPr>
    </w:p>
    <w:tbl>
      <w:tblPr>
        <w:tblW w:w="0" w:type="auto"/>
        <w:tblBorders>
          <w:top w:val="nil"/>
          <w:left w:val="nil"/>
          <w:bottom w:val="nil"/>
          <w:right w:val="nil"/>
        </w:tblBorders>
        <w:tblLook w:val="0000" w:firstRow="0" w:lastRow="0" w:firstColumn="0" w:lastColumn="0" w:noHBand="0" w:noVBand="0"/>
      </w:tblPr>
      <w:tblGrid>
        <w:gridCol w:w="1278"/>
      </w:tblGrid>
      <w:tr w:rsidR="00BC3F90" w:rsidRPr="00BC3F90" w14:paraId="0D67F4F1" w14:textId="77777777" w:rsidTr="00BC3F90">
        <w:trPr>
          <w:trHeight w:val="427"/>
        </w:trPr>
        <w:tc>
          <w:tcPr>
            <w:tcW w:w="1278" w:type="dxa"/>
          </w:tcPr>
          <w:p w14:paraId="20EF0A39" w14:textId="1BA59A96" w:rsidR="00BC3F90" w:rsidRPr="00BC3F90" w:rsidRDefault="00BC3F90" w:rsidP="00BC3F90">
            <w:pPr>
              <w:pStyle w:val="Default"/>
              <w:spacing w:before="120" w:after="60"/>
              <w:rPr>
                <w:rFonts w:asciiTheme="majorHAnsi" w:eastAsia="Times New Roman" w:hAnsiTheme="majorHAnsi" w:cs="Times New Roman"/>
                <w:color w:val="auto"/>
                <w:sz w:val="22"/>
              </w:rPr>
            </w:pPr>
          </w:p>
        </w:tc>
      </w:tr>
      <w:tr w:rsidR="00BC3F90" w:rsidRPr="00BC3F90" w14:paraId="0D27D87E" w14:textId="77777777" w:rsidTr="00BC3F90">
        <w:trPr>
          <w:trHeight w:val="389"/>
        </w:trPr>
        <w:tc>
          <w:tcPr>
            <w:tcW w:w="1278" w:type="dxa"/>
          </w:tcPr>
          <w:p w14:paraId="682C78EC" w14:textId="3B281E65" w:rsidR="00BC3F90" w:rsidRPr="00BC3F90" w:rsidRDefault="00BC3F90" w:rsidP="00BC3F90">
            <w:pPr>
              <w:pStyle w:val="Default"/>
              <w:spacing w:before="120" w:after="60"/>
              <w:rPr>
                <w:rFonts w:asciiTheme="majorHAnsi" w:eastAsia="Times New Roman" w:hAnsiTheme="majorHAnsi" w:cs="Times New Roman"/>
                <w:color w:val="auto"/>
                <w:sz w:val="22"/>
              </w:rPr>
            </w:pPr>
          </w:p>
        </w:tc>
      </w:tr>
    </w:tbl>
    <w:p w14:paraId="4CA91CAF" w14:textId="77777777" w:rsidR="00BC3F90" w:rsidRPr="00BC3F90" w:rsidRDefault="00BC3F90" w:rsidP="00BC3F90">
      <w:pPr>
        <w:autoSpaceDE w:val="0"/>
        <w:autoSpaceDN w:val="0"/>
        <w:adjustRightInd w:val="0"/>
        <w:spacing w:after="0"/>
        <w:jc w:val="left"/>
        <w:rPr>
          <w:rFonts w:ascii="Arial" w:hAnsi="Arial" w:cs="Arial"/>
          <w:sz w:val="24"/>
        </w:rPr>
      </w:pPr>
    </w:p>
    <w:p w14:paraId="168A3F03" w14:textId="77777777" w:rsidR="00BB556C" w:rsidRDefault="00BB556C" w:rsidP="00A54B7A">
      <w:pPr>
        <w:spacing w:after="60"/>
      </w:pPr>
    </w:p>
    <w:p w14:paraId="3A0A2B79" w14:textId="77777777" w:rsidR="00BB556C" w:rsidRDefault="00BB556C" w:rsidP="00A54B7A">
      <w:pPr>
        <w:spacing w:after="60"/>
      </w:pPr>
    </w:p>
    <w:p w14:paraId="0C80FA4F" w14:textId="77777777" w:rsidR="00BB556C" w:rsidRDefault="00BB556C" w:rsidP="00A54B7A">
      <w:pPr>
        <w:spacing w:after="60"/>
      </w:pPr>
    </w:p>
    <w:p w14:paraId="6286D46E" w14:textId="13464C09" w:rsidR="00AC27EB" w:rsidRDefault="00AC27EB" w:rsidP="00A54B7A">
      <w:pPr>
        <w:spacing w:after="60"/>
        <w:rPr>
          <w:lang w:eastAsia="en-GB"/>
        </w:rPr>
      </w:pPr>
      <w:r>
        <w:rPr>
          <w:lang w:eastAsia="en-GB"/>
        </w:rPr>
        <w:br w:type="page"/>
      </w:r>
    </w:p>
    <w:p w14:paraId="7AC7F7C5" w14:textId="77777777" w:rsidR="00C356AE" w:rsidRDefault="00C356AE">
      <w:pPr>
        <w:spacing w:after="0"/>
        <w:jc w:val="left"/>
        <w:rPr>
          <w:lang w:eastAsia="en-GB"/>
        </w:rPr>
        <w:sectPr w:rsidR="00C356AE" w:rsidSect="00C34CB8">
          <w:headerReference w:type="default" r:id="rId34"/>
          <w:pgSz w:w="11906" w:h="16838" w:code="9"/>
          <w:pgMar w:top="1440" w:right="849" w:bottom="1440" w:left="1440" w:header="708" w:footer="708" w:gutter="0"/>
          <w:cols w:space="708"/>
          <w:docGrid w:linePitch="360"/>
        </w:sectPr>
      </w:pPr>
    </w:p>
    <w:bookmarkStart w:id="71" w:name="_Toc469259589"/>
    <w:p w14:paraId="77C1766E" w14:textId="6D3E2166" w:rsidR="00C34CB8" w:rsidRDefault="00C34CB8" w:rsidP="00C34CB8">
      <w:pPr>
        <w:pStyle w:val="Heading1"/>
        <w:numPr>
          <w:ilvl w:val="0"/>
          <w:numId w:val="0"/>
        </w:numPr>
      </w:pPr>
      <w:r>
        <w:rPr>
          <w:noProof/>
          <w:lang w:eastAsia="en-GB"/>
        </w:rPr>
        <w:lastRenderedPageBreak/>
        <mc:AlternateContent>
          <mc:Choice Requires="wps">
            <w:drawing>
              <wp:anchor distT="0" distB="0" distL="114300" distR="114300" simplePos="0" relativeHeight="251670528" behindDoc="0" locked="0" layoutInCell="1" allowOverlap="1" wp14:anchorId="2137B1EC" wp14:editId="523532AD">
                <wp:simplePos x="0" y="0"/>
                <wp:positionH relativeFrom="column">
                  <wp:posOffset>0</wp:posOffset>
                </wp:positionH>
                <wp:positionV relativeFrom="paragraph">
                  <wp:posOffset>630555</wp:posOffset>
                </wp:positionV>
                <wp:extent cx="5801360" cy="7929880"/>
                <wp:effectExtent l="0" t="0" r="27940" b="13970"/>
                <wp:wrapSquare wrapText="bothSides"/>
                <wp:docPr id="2" name="Text Box 2"/>
                <wp:cNvGraphicFramePr/>
                <a:graphic xmlns:a="http://schemas.openxmlformats.org/drawingml/2006/main">
                  <a:graphicData uri="http://schemas.microsoft.com/office/word/2010/wordprocessingShape">
                    <wps:wsp>
                      <wps:cNvSpPr txBox="1"/>
                      <wps:spPr>
                        <a:xfrm>
                          <a:off x="0" y="0"/>
                          <a:ext cx="5801360" cy="7929880"/>
                        </a:xfrm>
                        <a:prstGeom prst="rect">
                          <a:avLst/>
                        </a:prstGeom>
                        <a:noFill/>
                        <a:ln w="6350">
                          <a:solidFill>
                            <a:prstClr val="black"/>
                          </a:solidFill>
                        </a:ln>
                        <a:effectLst/>
                      </wps:spPr>
                      <wps:txbx>
                        <w:txbxContent>
                          <w:p w14:paraId="48E8E76E" w14:textId="4C0B0C8E" w:rsidR="00B77502" w:rsidRDefault="00B77502" w:rsidP="00F909EF">
                            <w:r>
                              <w:t>Edible crab catches, by ICES square – from MMO landings statistics, 2014</w:t>
                            </w:r>
                          </w:p>
                          <w:p w14:paraId="2F641B62" w14:textId="2875794C" w:rsidR="00B77502" w:rsidRDefault="00B77502" w:rsidP="00F909EF">
                            <w:r>
                              <w:rPr>
                                <w:noProof/>
                                <w:lang w:eastAsia="en-GB"/>
                              </w:rPr>
                              <w:drawing>
                                <wp:inline distT="0" distB="0" distL="0" distR="0" wp14:anchorId="4F419755" wp14:editId="438D023A">
                                  <wp:extent cx="5249917" cy="3680392"/>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50097" cy="3680518"/>
                                          </a:xfrm>
                                          <a:prstGeom prst="rect">
                                            <a:avLst/>
                                          </a:prstGeom>
                                          <a:noFill/>
                                          <a:ln>
                                            <a:noFill/>
                                          </a:ln>
                                        </pic:spPr>
                                      </pic:pic>
                                    </a:graphicData>
                                  </a:graphic>
                                </wp:inline>
                              </w:drawing>
                            </w:r>
                          </w:p>
                          <w:p w14:paraId="139B3D32" w14:textId="756E78A4" w:rsidR="00B77502" w:rsidRDefault="00B77502" w:rsidP="00F909EF">
                            <w:r>
                              <w:rPr>
                                <w:noProof/>
                                <w:lang w:eastAsia="en-GB"/>
                              </w:rPr>
                              <w:drawing>
                                <wp:inline distT="0" distB="0" distL="0" distR="0" wp14:anchorId="2A171527" wp14:editId="1E6AC3D3">
                                  <wp:extent cx="5153486" cy="3626047"/>
                                  <wp:effectExtent l="0" t="0" r="9525" b="0"/>
                                  <wp:docPr id="1027" name="Picture 3" descr="D:\BUSINESS\PROJECTS\357 Project UK\Graphics\PUKFI Crab unde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D:\BUSINESS\PROJECTS\357 Project UK\Graphics\PUKFI Crab under1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76153" cy="3641996"/>
                                          </a:xfrm>
                                          <a:prstGeom prst="rect">
                                            <a:avLst/>
                                          </a:prstGeom>
                                          <a:noFill/>
                                          <a:extLst/>
                                        </pic:spPr>
                                      </pic:pic>
                                    </a:graphicData>
                                  </a:graphic>
                                </wp:inline>
                              </w:drawing>
                            </w:r>
                          </w:p>
                          <w:p w14:paraId="2E7B4676" w14:textId="77777777" w:rsidR="00B77502" w:rsidRPr="00095C77" w:rsidRDefault="00B77502" w:rsidP="00F909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37B1EC" id="Text Box 2" o:spid="_x0000_s1032" type="#_x0000_t202" style="position:absolute;left:0;text-align:left;margin-left:0;margin-top:49.65pt;width:456.8pt;height:62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FdnSwIAAI8EAAAOAAAAZHJzL2Uyb0RvYy54bWysVF1v2jAUfZ+0/2D5fQQobQE1VKwV06Sq&#10;rQRVn43jlGiOr2cbku7X79ghLer2NO3F3K/cj3Pu5eq6rTU7KOcrMjkfDYacKSOpqMxLzp82qy9T&#10;znwQphCajMr5q/L8evH501Vj52pMO9KFcgxJjJ83Nue7EOw8y7zcqVr4AVll4CzJ1SJAdS9Z4USD&#10;7LXOxsPhRdaQK6wjqbyH9bZz8kXKX5ZKhoey9CownXP0FtLr0ruNb7a4EvMXJ+yuksc2xD90UYvK&#10;oOhbqlsRBNu76o9UdSUdeSrDQFKdUVlWUqUZMM1o+GGa9U5YlWYBON6+weT/X1p5f3h0rCpyPubM&#10;iBoUbVQb2Fdq2Tii01g/R9DaIiy0MIPl3u5hjEO3pavjL8Zh8APn1zdsYzIJ4/l0ODq7gEvCdzkb&#10;z6bThH72/rl1PnxTVLMo5NyBvISpONz5gFYQ2ofEaoZWldaJQG1Yk/OLs/Nh+sCTrorojGHxkxvt&#10;2EFgBbZayB+xfeQ6iYKmTQxWaWWO5eLo3YhRCu22TUBN+vG3VLwCFUfdVnkrVxWK3QkfHoXDGmFa&#10;nEZ4wFNqQod0lDjbkfv1N3uMB7vwctZgLXPuf+6FU5zp7wa8z0aTSdzjpEzOL8dQ3Klne+ox+/qG&#10;MPYIR2hlEmN80L1YOqqfcUHLWBUuYSRq5zz04k3ojgUXKNVymYKwuVaEO7O2MqbuQd60z8LZI3kB&#10;vN9Tv8Bi/oHDLrZjcbkPVFaJ4IhzhyoYigq2PnF1vNB4Vqd6inr/H1n8BgAA//8DAFBLAwQUAAYA&#10;CAAAACEATzEjv98AAAAIAQAADwAAAGRycy9kb3ducmV2LnhtbEyPQUvEMBSE74L/ITzBm5vW6rqt&#10;TRcR9yCI4Cqux7R5tsXkpTbZbvXX+zzpcZhh5ptyPTsrJhxD70lBukhAIDXe9NQqeHnenK1AhKjJ&#10;aOsJFXxhgHV1fFTqwvgDPeG0ja3gEgqFVtDFOBRShqZDp8PCD0jsvfvR6chybKUZ9YHLnZXnSbKU&#10;TvfEC50e8LbD5mO7dwoeXnefd5vHt2SHte0vJ3vV3X/XSp2ezDfXICLO8S8Mv/iMDhUz1X5PJgir&#10;gI9EBXmegWA3T7MliJpj2cUqBVmV8v+B6gcAAP//AwBQSwECLQAUAAYACAAAACEAtoM4kv4AAADh&#10;AQAAEwAAAAAAAAAAAAAAAAAAAAAAW0NvbnRlbnRfVHlwZXNdLnhtbFBLAQItABQABgAIAAAAIQA4&#10;/SH/1gAAAJQBAAALAAAAAAAAAAAAAAAAAC8BAABfcmVscy8ucmVsc1BLAQItABQABgAIAAAAIQCk&#10;AFdnSwIAAI8EAAAOAAAAAAAAAAAAAAAAAC4CAABkcnMvZTJvRG9jLnhtbFBLAQItABQABgAIAAAA&#10;IQBPMSO/3wAAAAgBAAAPAAAAAAAAAAAAAAAAAKUEAABkcnMvZG93bnJldi54bWxQSwUGAAAAAAQA&#10;BADzAAAAsQUAAAAA&#10;" filled="f" strokeweight=".5pt">
                <v:textbox>
                  <w:txbxContent>
                    <w:p w14:paraId="48E8E76E" w14:textId="4C0B0C8E" w:rsidR="00B77502" w:rsidRDefault="00B77502" w:rsidP="00F909EF">
                      <w:r>
                        <w:t>Edible crab catches, by ICES square – from MMO landings statistics, 2014</w:t>
                      </w:r>
                    </w:p>
                    <w:p w14:paraId="2F641B62" w14:textId="2875794C" w:rsidR="00B77502" w:rsidRDefault="00B77502" w:rsidP="00F909EF">
                      <w:r>
                        <w:rPr>
                          <w:noProof/>
                          <w:lang w:eastAsia="en-GB"/>
                        </w:rPr>
                        <w:drawing>
                          <wp:inline distT="0" distB="0" distL="0" distR="0" wp14:anchorId="4F419755" wp14:editId="438D023A">
                            <wp:extent cx="5249917" cy="3680392"/>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50097" cy="3680518"/>
                                    </a:xfrm>
                                    <a:prstGeom prst="rect">
                                      <a:avLst/>
                                    </a:prstGeom>
                                    <a:noFill/>
                                    <a:ln>
                                      <a:noFill/>
                                    </a:ln>
                                  </pic:spPr>
                                </pic:pic>
                              </a:graphicData>
                            </a:graphic>
                          </wp:inline>
                        </w:drawing>
                      </w:r>
                    </w:p>
                    <w:p w14:paraId="139B3D32" w14:textId="756E78A4" w:rsidR="00B77502" w:rsidRDefault="00B77502" w:rsidP="00F909EF">
                      <w:r>
                        <w:rPr>
                          <w:noProof/>
                          <w:lang w:eastAsia="en-GB"/>
                        </w:rPr>
                        <w:drawing>
                          <wp:inline distT="0" distB="0" distL="0" distR="0" wp14:anchorId="2A171527" wp14:editId="1E6AC3D3">
                            <wp:extent cx="5153486" cy="3626047"/>
                            <wp:effectExtent l="0" t="0" r="9525" b="0"/>
                            <wp:docPr id="1027" name="Picture 3" descr="D:\BUSINESS\PROJECTS\357 Project UK\Graphics\PUKFI Crab unde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D:\BUSINESS\PROJECTS\357 Project UK\Graphics\PUKFI Crab under10.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76153" cy="3641996"/>
                                    </a:xfrm>
                                    <a:prstGeom prst="rect">
                                      <a:avLst/>
                                    </a:prstGeom>
                                    <a:noFill/>
                                    <a:extLst/>
                                  </pic:spPr>
                                </pic:pic>
                              </a:graphicData>
                            </a:graphic>
                          </wp:inline>
                        </w:drawing>
                      </w:r>
                    </w:p>
                    <w:p w14:paraId="2E7B4676" w14:textId="77777777" w:rsidR="00B77502" w:rsidRPr="00095C77" w:rsidRDefault="00B77502" w:rsidP="00F909EF"/>
                  </w:txbxContent>
                </v:textbox>
                <w10:wrap type="square"/>
              </v:shape>
            </w:pict>
          </mc:Fallback>
        </mc:AlternateContent>
      </w:r>
      <w:r w:rsidR="00BB556C">
        <w:t>Appendix 3</w:t>
      </w:r>
      <w:r w:rsidR="003A74F3">
        <w:t xml:space="preserve"> – </w:t>
      </w:r>
      <w:r>
        <w:t>Graphics</w:t>
      </w:r>
      <w:bookmarkEnd w:id="71"/>
    </w:p>
    <w:p w14:paraId="548837FB" w14:textId="77777777" w:rsidR="00C34CB8" w:rsidRDefault="00C34CB8">
      <w:pPr>
        <w:spacing w:after="0"/>
        <w:jc w:val="left"/>
        <w:sectPr w:rsidR="00C34CB8" w:rsidSect="00C34CB8">
          <w:pgSz w:w="11906" w:h="16838" w:code="9"/>
          <w:pgMar w:top="1440" w:right="1558" w:bottom="1440" w:left="1440" w:header="708" w:footer="708" w:gutter="0"/>
          <w:cols w:space="708"/>
          <w:docGrid w:linePitch="360"/>
        </w:sectPr>
      </w:pPr>
      <w:r>
        <w:br w:type="page"/>
      </w:r>
    </w:p>
    <w:p w14:paraId="138AA935" w14:textId="29E8FC27" w:rsidR="00C34CB8" w:rsidRDefault="00C34CB8">
      <w:pPr>
        <w:spacing w:after="0"/>
        <w:jc w:val="left"/>
      </w:pPr>
      <w:r>
        <w:rPr>
          <w:noProof/>
          <w:lang w:eastAsia="en-GB"/>
        </w:rPr>
        <w:lastRenderedPageBreak/>
        <mc:AlternateContent>
          <mc:Choice Requires="wps">
            <w:drawing>
              <wp:anchor distT="0" distB="0" distL="114300" distR="114300" simplePos="0" relativeHeight="251671552" behindDoc="0" locked="0" layoutInCell="1" allowOverlap="1" wp14:anchorId="6A1E22F5" wp14:editId="7403C4CA">
                <wp:simplePos x="0" y="0"/>
                <wp:positionH relativeFrom="column">
                  <wp:posOffset>-204716</wp:posOffset>
                </wp:positionH>
                <wp:positionV relativeFrom="paragraph">
                  <wp:posOffset>-74930</wp:posOffset>
                </wp:positionV>
                <wp:extent cx="9321420" cy="5377218"/>
                <wp:effectExtent l="0" t="0" r="13335" b="13970"/>
                <wp:wrapNone/>
                <wp:docPr id="8" name="Text Box 8"/>
                <wp:cNvGraphicFramePr/>
                <a:graphic xmlns:a="http://schemas.openxmlformats.org/drawingml/2006/main">
                  <a:graphicData uri="http://schemas.microsoft.com/office/word/2010/wordprocessingShape">
                    <wps:wsp>
                      <wps:cNvSpPr txBox="1"/>
                      <wps:spPr>
                        <a:xfrm>
                          <a:off x="0" y="0"/>
                          <a:ext cx="9321420" cy="53772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EA8E1A" w14:textId="0AE092B9" w:rsidR="00B77502" w:rsidRPr="00DF2C77" w:rsidRDefault="00B77502">
                            <w:pPr>
                              <w:rPr>
                                <w:b/>
                              </w:rPr>
                            </w:pPr>
                            <w:proofErr w:type="spellStart"/>
                            <w:r w:rsidRPr="00DF2C77">
                              <w:rPr>
                                <w:b/>
                              </w:rPr>
                              <w:t>EMODnet</w:t>
                            </w:r>
                            <w:proofErr w:type="spellEnd"/>
                            <w:r w:rsidRPr="00DF2C77">
                              <w:rPr>
                                <w:b/>
                              </w:rPr>
                              <w:t xml:space="preserve"> screen grab showing seabed substrate – http://www.emodnet-seabedhabitats.eu</w:t>
                            </w:r>
                          </w:p>
                          <w:p w14:paraId="2585E41C" w14:textId="73A80B24" w:rsidR="00B77502" w:rsidRDefault="00B77502">
                            <w:r>
                              <w:rPr>
                                <w:noProof/>
                                <w:lang w:eastAsia="en-GB"/>
                              </w:rPr>
                              <w:drawing>
                                <wp:inline distT="0" distB="0" distL="0" distR="0" wp14:anchorId="10C0687B" wp14:editId="511C5C70">
                                  <wp:extent cx="9063022" cy="4885898"/>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9057674" cy="4883015"/>
                                          </a:xfrm>
                                          <a:prstGeom prst="rect">
                                            <a:avLst/>
                                          </a:prstGeom>
                                        </pic:spPr>
                                      </pic:pic>
                                    </a:graphicData>
                                  </a:graphic>
                                </wp:inline>
                              </w:drawing>
                            </w:r>
                          </w:p>
                          <w:p w14:paraId="1C8CCBD7" w14:textId="77777777" w:rsidR="00B77502" w:rsidRDefault="00B775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1E22F5" id="Text Box 8" o:spid="_x0000_s1033" type="#_x0000_t202" style="position:absolute;margin-left:-16.1pt;margin-top:-5.9pt;width:733.95pt;height:42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CAlwIAALoFAAAOAAAAZHJzL2Uyb0RvYy54bWysVEtPGzEQvlfqf7B8L5uEhEfEBqUgqkoI&#10;UEPF2fHaxML2uLaT3fTXd+zdDQnlQtXL7tjzzevzzFxcNkaTjfBBgS3p8GhAibAcKmWfS/rz8ebL&#10;GSUhMlsxDVaUdCsCvZx9/nRRu6kYwQp0JTxBJzZMa1fSVYxuWhSBr4Rh4QicsKiU4A2LePTPReVZ&#10;jd6NLkaDwUlRg6+cBy5CwNvrVkln2b+Ugsd7KYOIRJcUc4v56/N3mb7F7IJNnz1zK8W7NNg/ZGGY&#10;shh05+qaRUbWXv3lyijuIYCMRxxMAVIqLnINWM1w8KaaxYo5kWtBcoLb0RT+n1t+t3nwRFUlxYey&#10;zOATPYomkq/QkLPETu3CFEELh7DY4DW+cn8f8DIV3Uhv0h/LIahHnrc7bpMzjpfnx6PheIQqjrrJ&#10;8enpaJj9F6/mzof4TYAhSSipx8fLnLLNbYiYCkJ7SIoWQKvqRmmdD6lhxJX2ZMPwqXXMSaLFAUpb&#10;Upf05HgyyI4PdMn1zn6pGX9JZR56wJO2KZzIrdWllShqqchS3GqRMNr+EBKpzYy8kyPjXNhdnhmd&#10;UBIr+ohhh3/N6iPGbR1okSODjTtjoyz4lqVDaquXnlrZ4pGkvbqTGJtlk3tq0nfKEqotNpCHdgCD&#10;4zcK+b5lIT4wjxOHjYFbJN7jR2rAR4JOomQF/vd79wmPg4BaSmqc4JKGX2vmBSX6u8UROR+Ox2nk&#10;82E8OU3N5/c1y32NXZsrwM4Z4r5yPIsJH3UvSg/mCZfNPEVFFbMcY5c09uJVbPcKLisu5vMMwiF3&#10;LN7ahePJdWI59dlj88S86/o84ojcQT/rbPqm3VtssrQwX0eQKs9C4rllteMfF0Ru126ZpQ20f86o&#10;15U7+wMAAP//AwBQSwMEFAAGAAgAAAAhAOdvu7rfAAAADAEAAA8AAABkcnMvZG93bnJldi54bWxM&#10;j8tOwzAQRfdI/IM1SOxa50EhhDgVoNINKwpiPY1d2yK2o9hNw98zXZXdjObozrnNenY9m9QYbfAC&#10;8mUGTPkuSOu1gK/Pt0UFLCb0EvvglYBfFWHdXl81WMtw8h9q2iXNKMTHGgWYlIaa89gZ5TAuw6A8&#10;3Q5hdJhoHTWXI54o3PW8yLJ77tB6+mBwUK9GdT+7oxOwedGPuqtwNJtKWjvN34d3vRXi9mZ+fgKW&#10;1JwuMJz1SR1actqHo5eR9QIWZVEQSkOeU4czcVeuHoDtBVTlKgPeNvx/ifYPAAD//wMAUEsBAi0A&#10;FAAGAAgAAAAhALaDOJL+AAAA4QEAABMAAAAAAAAAAAAAAAAAAAAAAFtDb250ZW50X1R5cGVzXS54&#10;bWxQSwECLQAUAAYACAAAACEAOP0h/9YAAACUAQAACwAAAAAAAAAAAAAAAAAvAQAAX3JlbHMvLnJl&#10;bHNQSwECLQAUAAYACAAAACEA5f+wgJcCAAC6BQAADgAAAAAAAAAAAAAAAAAuAgAAZHJzL2Uyb0Rv&#10;Yy54bWxQSwECLQAUAAYACAAAACEA52+7ut8AAAAMAQAADwAAAAAAAAAAAAAAAADxBAAAZHJzL2Rv&#10;d25yZXYueG1sUEsFBgAAAAAEAAQA8wAAAP0FAAAAAA==&#10;" fillcolor="white [3201]" strokeweight=".5pt">
                <v:textbox>
                  <w:txbxContent>
                    <w:p w14:paraId="7DEA8E1A" w14:textId="0AE092B9" w:rsidR="00B77502" w:rsidRPr="00DF2C77" w:rsidRDefault="00B77502">
                      <w:pPr>
                        <w:rPr>
                          <w:b/>
                        </w:rPr>
                      </w:pPr>
                      <w:r w:rsidRPr="00DF2C77">
                        <w:rPr>
                          <w:b/>
                        </w:rPr>
                        <w:t>EMODnet screen grab showing seabed substrate – http://www.emodnet-seabedhabitats.eu</w:t>
                      </w:r>
                    </w:p>
                    <w:p w14:paraId="2585E41C" w14:textId="73A80B24" w:rsidR="00B77502" w:rsidRDefault="00B77502">
                      <w:r>
                        <w:rPr>
                          <w:noProof/>
                          <w:lang w:eastAsia="en-GB"/>
                        </w:rPr>
                        <w:drawing>
                          <wp:inline distT="0" distB="0" distL="0" distR="0" wp14:anchorId="10C0687B" wp14:editId="511C5C70">
                            <wp:extent cx="9063022" cy="4885898"/>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9057674" cy="4883015"/>
                                    </a:xfrm>
                                    <a:prstGeom prst="rect">
                                      <a:avLst/>
                                    </a:prstGeom>
                                  </pic:spPr>
                                </pic:pic>
                              </a:graphicData>
                            </a:graphic>
                          </wp:inline>
                        </w:drawing>
                      </w:r>
                    </w:p>
                    <w:p w14:paraId="1C8CCBD7" w14:textId="77777777" w:rsidR="00B77502" w:rsidRDefault="00B77502"/>
                  </w:txbxContent>
                </v:textbox>
              </v:shape>
            </w:pict>
          </mc:Fallback>
        </mc:AlternateContent>
      </w:r>
    </w:p>
    <w:p w14:paraId="59C8FB0F" w14:textId="77777777" w:rsidR="00346B89" w:rsidRDefault="00346B89" w:rsidP="00BB556C">
      <w:pPr>
        <w:spacing w:after="0"/>
        <w:ind w:left="-567" w:right="-448"/>
      </w:pPr>
    </w:p>
    <w:p w14:paraId="4E5B18D1" w14:textId="77777777" w:rsidR="00DF2C77" w:rsidRDefault="00DF2C77" w:rsidP="00BB556C">
      <w:pPr>
        <w:spacing w:after="0"/>
        <w:ind w:left="-567" w:right="-448"/>
        <w:sectPr w:rsidR="00DF2C77" w:rsidSect="00C34CB8">
          <w:pgSz w:w="16838" w:h="11906" w:orient="landscape" w:code="9"/>
          <w:pgMar w:top="1558" w:right="1440" w:bottom="1440" w:left="1440" w:header="708" w:footer="708" w:gutter="0"/>
          <w:cols w:space="708"/>
          <w:docGrid w:linePitch="360"/>
        </w:sectPr>
      </w:pPr>
    </w:p>
    <w:p w14:paraId="481323CE" w14:textId="0001E5AF" w:rsidR="00DF2C77" w:rsidRPr="006D04EF" w:rsidRDefault="00DF2C77" w:rsidP="00BB556C">
      <w:pPr>
        <w:spacing w:after="0"/>
        <w:ind w:left="-567" w:right="-448"/>
      </w:pPr>
      <w:r>
        <w:rPr>
          <w:noProof/>
          <w:lang w:eastAsia="en-GB"/>
        </w:rPr>
        <w:lastRenderedPageBreak/>
        <mc:AlternateContent>
          <mc:Choice Requires="wps">
            <w:drawing>
              <wp:anchor distT="0" distB="0" distL="114300" distR="114300" simplePos="0" relativeHeight="251672576" behindDoc="0" locked="0" layoutInCell="1" allowOverlap="1" wp14:anchorId="63D508EB" wp14:editId="271094F0">
                <wp:simplePos x="0" y="0"/>
                <wp:positionH relativeFrom="column">
                  <wp:posOffset>-368490</wp:posOffset>
                </wp:positionH>
                <wp:positionV relativeFrom="paragraph">
                  <wp:posOffset>88843</wp:posOffset>
                </wp:positionV>
                <wp:extent cx="9512490" cy="5418161"/>
                <wp:effectExtent l="0" t="0" r="12700" b="11430"/>
                <wp:wrapNone/>
                <wp:docPr id="9" name="Text Box 9"/>
                <wp:cNvGraphicFramePr/>
                <a:graphic xmlns:a="http://schemas.openxmlformats.org/drawingml/2006/main">
                  <a:graphicData uri="http://schemas.microsoft.com/office/word/2010/wordprocessingShape">
                    <wps:wsp>
                      <wps:cNvSpPr txBox="1"/>
                      <wps:spPr>
                        <a:xfrm>
                          <a:off x="0" y="0"/>
                          <a:ext cx="9512490" cy="54181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8B68C1" w14:textId="404B4D19" w:rsidR="00B77502" w:rsidRPr="00DF2C77" w:rsidRDefault="00B77502">
                            <w:pPr>
                              <w:rPr>
                                <w:b/>
                              </w:rPr>
                            </w:pPr>
                            <w:r w:rsidRPr="00DF2C77">
                              <w:rPr>
                                <w:b/>
                              </w:rPr>
                              <w:t>Designated Marine Protected Areas</w:t>
                            </w:r>
                            <w:r>
                              <w:rPr>
                                <w:b/>
                              </w:rPr>
                              <w:t xml:space="preserve"> - </w:t>
                            </w:r>
                            <w:r w:rsidRPr="00DF2C77">
                              <w:rPr>
                                <w:b/>
                              </w:rPr>
                              <w:t>http://jncc.defra.gov.uk/page-5201</w:t>
                            </w:r>
                          </w:p>
                          <w:p w14:paraId="422E7F39" w14:textId="51EA2EA8" w:rsidR="00B77502" w:rsidRDefault="00B77502">
                            <w:r>
                              <w:rPr>
                                <w:noProof/>
                                <w:lang w:eastAsia="en-GB"/>
                              </w:rPr>
                              <w:drawing>
                                <wp:inline distT="0" distB="0" distL="0" distR="0" wp14:anchorId="200CD2C0" wp14:editId="606A454C">
                                  <wp:extent cx="8701215" cy="5691116"/>
                                  <wp:effectExtent l="0" t="0" r="508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8696422" cy="5687981"/>
                                          </a:xfrm>
                                          <a:prstGeom prst="rect">
                                            <a:avLst/>
                                          </a:prstGeom>
                                        </pic:spPr>
                                      </pic:pic>
                                    </a:graphicData>
                                  </a:graphic>
                                </wp:inline>
                              </w:drawing>
                            </w:r>
                          </w:p>
                          <w:p w14:paraId="0CD384DA" w14:textId="77777777" w:rsidR="00B77502" w:rsidRDefault="00B775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D508EB" id="Text Box 9" o:spid="_x0000_s1034" type="#_x0000_t202" style="position:absolute;left:0;text-align:left;margin-left:-29pt;margin-top:7pt;width:749pt;height:426.6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6iDlwIAALoFAAAOAAAAZHJzL2Uyb0RvYy54bWysVN9v2jAQfp+0/8Hy+xrCgBVEqFirTpOq&#10;tlo79dk4Nlh1fJ5tSNhfv7OTUOj60mkvydn33a/Pdze/aCpNdsJ5Baag+dmAEmE4lMqsC/rz8frT&#10;OSU+MFMyDUYUdC88vVh8/DCv7UwMYQO6FI6gE+NntS3oJgQ7yzLPN6Ji/gysMKiU4CoW8OjWWelY&#10;jd4rnQ0Hg0lWgyutAy68x9urVkkXyb+Ugoc7Kb0IRBcUcwvp69J3Fb/ZYs5ma8fsRvEuDfYPWVRM&#10;GQx6cHXFAiNbp/5yVSnuwIMMZxyqDKRUXKQasJp88Kqahw2zItWC5Hh7oMn/P7f8dnfviCoLOqXE&#10;sAqf6FE0gXyFhkwjO7X1MwQ9WISFBq/xlft7j5ex6Ea6Kv6xHIJ65Hl/4DY643g5HefD0RRVHHXj&#10;UX6eT5Kf7MXcOh++CahIFArq8PESp2x34wOmgtAeEqN50Kq8VlqnQ2wYcakd2TF8ah165ycobUhd&#10;0Mnn8SA5PtFF1wf7lWb8OZaJMY9QeNImhhOptbq0IkUtFUkKey0iRpsfQiK1iZE3cmScC3PIM6Ej&#10;SmJF7zHs8C9Zvce4rQMtUmQw4WBcKQOuZemU2vK5p1a2eCTpqO4ohmbVpJ6a9J2ygnKPDeSgHUBv&#10;+bVCvm+YD/fM4cRhY+AWCXf4kRrwkaCTKNmA+/3WfcTjIKCWkhonuKD+15Y5QYn+bnBEpvloFEc+&#10;HUbjL0M8uGPN6lhjttUlYOfkuK8sT2LEB92L0kH1hMtmGaOiihmOsQsaevEytHsFlxUXy2UC4ZBb&#10;Fm7Mg+XRdWQ59tlj88Sc7fo84IjcQj/rbPaq3VtstDSw3AaQKs1C5LllteMfF0Rq126ZxQ10fE6o&#10;l5W7+AMAAP//AwBQSwMEFAAGAAgAAAAhAFLOF6TdAAAACwEAAA8AAABkcnMvZG93bnJldi54bWxM&#10;j8FOwzAQRO9I/IO1SNxaBwjFhDgVoMKFEwVxduOtbRHbke2m4e/ZnuC0u5rR7Jt2PfuBTZiyi0HC&#10;1bIChqGP2gUj4fPjZSGA5aKCVkMMKOEHM6y787NWNToewztO22IYhYTcKAm2lLHhPPcWvcrLOGIg&#10;bR+TV4XOZLhO6kjhfuDXVbXiXrlAH6wa8dli/709eAmbJ3NveqGS3Qjt3DR/7d/Mq5SXF/PjA7CC&#10;c/kzwwmf0KEjpl08BJ3ZIGFxK6hLIaGmeTLUdUXbToJY3d0A71r+v0P3CwAA//8DAFBLAQItABQA&#10;BgAIAAAAIQC2gziS/gAAAOEBAAATAAAAAAAAAAAAAAAAAAAAAABbQ29udGVudF9UeXBlc10ueG1s&#10;UEsBAi0AFAAGAAgAAAAhADj9If/WAAAAlAEAAAsAAAAAAAAAAAAAAAAALwEAAF9yZWxzLy5yZWxz&#10;UEsBAi0AFAAGAAgAAAAhABE3qIOXAgAAugUAAA4AAAAAAAAAAAAAAAAALgIAAGRycy9lMm9Eb2Mu&#10;eG1sUEsBAi0AFAAGAAgAAAAhAFLOF6TdAAAACwEAAA8AAAAAAAAAAAAAAAAA8QQAAGRycy9kb3du&#10;cmV2LnhtbFBLBQYAAAAABAAEAPMAAAD7BQAAAAA=&#10;" fillcolor="white [3201]" strokeweight=".5pt">
                <v:textbox>
                  <w:txbxContent>
                    <w:p w14:paraId="098B68C1" w14:textId="404B4D19" w:rsidR="00B77502" w:rsidRPr="00DF2C77" w:rsidRDefault="00B77502">
                      <w:pPr>
                        <w:rPr>
                          <w:b/>
                        </w:rPr>
                      </w:pPr>
                      <w:r w:rsidRPr="00DF2C77">
                        <w:rPr>
                          <w:b/>
                        </w:rPr>
                        <w:t>Designated Marine Protected Areas</w:t>
                      </w:r>
                      <w:r>
                        <w:rPr>
                          <w:b/>
                        </w:rPr>
                        <w:t xml:space="preserve"> - </w:t>
                      </w:r>
                      <w:r w:rsidRPr="00DF2C77">
                        <w:rPr>
                          <w:b/>
                        </w:rPr>
                        <w:t>http://jncc.defra.gov.uk/page-5201</w:t>
                      </w:r>
                    </w:p>
                    <w:p w14:paraId="422E7F39" w14:textId="51EA2EA8" w:rsidR="00B77502" w:rsidRDefault="00B77502">
                      <w:r>
                        <w:rPr>
                          <w:noProof/>
                          <w:lang w:eastAsia="en-GB"/>
                        </w:rPr>
                        <w:drawing>
                          <wp:inline distT="0" distB="0" distL="0" distR="0" wp14:anchorId="200CD2C0" wp14:editId="606A454C">
                            <wp:extent cx="8701215" cy="5691116"/>
                            <wp:effectExtent l="0" t="0" r="508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8696422" cy="5687981"/>
                                    </a:xfrm>
                                    <a:prstGeom prst="rect">
                                      <a:avLst/>
                                    </a:prstGeom>
                                  </pic:spPr>
                                </pic:pic>
                              </a:graphicData>
                            </a:graphic>
                          </wp:inline>
                        </w:drawing>
                      </w:r>
                    </w:p>
                    <w:p w14:paraId="0CD384DA" w14:textId="77777777" w:rsidR="00B77502" w:rsidRDefault="00B77502"/>
                  </w:txbxContent>
                </v:textbox>
              </v:shape>
            </w:pict>
          </mc:Fallback>
        </mc:AlternateContent>
      </w:r>
    </w:p>
    <w:sectPr w:rsidR="00DF2C77" w:rsidRPr="006D04EF" w:rsidSect="00C34CB8">
      <w:pgSz w:w="16838" w:h="11906" w:orient="landscape" w:code="9"/>
      <w:pgMar w:top="1558"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72EE92" w14:textId="77777777" w:rsidR="00CD7864" w:rsidRDefault="00CD7864" w:rsidP="001855E0">
      <w:r>
        <w:separator/>
      </w:r>
    </w:p>
  </w:endnote>
  <w:endnote w:type="continuationSeparator" w:id="0">
    <w:p w14:paraId="031C6A4D" w14:textId="77777777" w:rsidR="00CD7864" w:rsidRDefault="00CD7864" w:rsidP="001855E0">
      <w:r>
        <w:continuationSeparator/>
      </w:r>
    </w:p>
  </w:endnote>
  <w:endnote w:type="continuationNotice" w:id="1">
    <w:p w14:paraId="0B358B5B" w14:textId="77777777" w:rsidR="00CD7864" w:rsidRDefault="00CD786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ill Sans">
    <w:charset w:val="00"/>
    <w:family w:val="auto"/>
    <w:pitch w:val="variable"/>
    <w:sig w:usb0="80000267" w:usb1="00000000" w:usb2="00000000" w:usb3="00000000" w:csb0="000001F7" w:csb1="00000000"/>
  </w:font>
  <w:font w:name="Meta Offc Pro">
    <w:altName w:val="Meta Offc Pr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A273A" w14:textId="77777777" w:rsidR="00B77502" w:rsidRDefault="00B77502" w:rsidP="006605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6F97A4" w14:textId="77777777" w:rsidR="00B77502" w:rsidRDefault="00B77502" w:rsidP="006605D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4A6BF1" w14:textId="77777777" w:rsidR="00B77502" w:rsidRDefault="00B7750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84AFD8" w14:textId="67E0AB1A" w:rsidR="00B77502" w:rsidRPr="00CC2A91" w:rsidRDefault="00B77502" w:rsidP="00DF2C77">
    <w:pPr>
      <w:pStyle w:val="Footer"/>
      <w:framePr w:w="331" w:wrap="around" w:vAnchor="text" w:hAnchor="page" w:x="10156" w:y="244"/>
      <w:rPr>
        <w:rStyle w:val="PageNumber"/>
        <w:sz w:val="20"/>
        <w:szCs w:val="20"/>
      </w:rPr>
    </w:pPr>
    <w:r w:rsidRPr="00CC2A91">
      <w:rPr>
        <w:rStyle w:val="PageNumber"/>
        <w:sz w:val="20"/>
        <w:szCs w:val="20"/>
      </w:rPr>
      <w:fldChar w:fldCharType="begin"/>
    </w:r>
    <w:r w:rsidRPr="00CC2A91">
      <w:rPr>
        <w:rStyle w:val="PageNumber"/>
        <w:sz w:val="20"/>
        <w:szCs w:val="20"/>
      </w:rPr>
      <w:instrText xml:space="preserve">PAGE  </w:instrText>
    </w:r>
    <w:r w:rsidRPr="00CC2A91">
      <w:rPr>
        <w:rStyle w:val="PageNumber"/>
        <w:sz w:val="20"/>
        <w:szCs w:val="20"/>
      </w:rPr>
      <w:fldChar w:fldCharType="separate"/>
    </w:r>
    <w:r w:rsidR="006B4F3C">
      <w:rPr>
        <w:rStyle w:val="PageNumber"/>
        <w:noProof/>
        <w:sz w:val="20"/>
        <w:szCs w:val="20"/>
      </w:rPr>
      <w:t>10</w:t>
    </w:r>
    <w:r w:rsidRPr="00CC2A91">
      <w:rPr>
        <w:rStyle w:val="PageNumber"/>
        <w:sz w:val="20"/>
        <w:szCs w:val="20"/>
      </w:rPr>
      <w:fldChar w:fldCharType="end"/>
    </w:r>
  </w:p>
  <w:p w14:paraId="095AE397" w14:textId="0A6DA3CE" w:rsidR="00B77502" w:rsidRPr="00CC2A91" w:rsidRDefault="00B77502" w:rsidP="006605D8">
    <w:pPr>
      <w:pStyle w:val="Footer"/>
      <w:ind w:right="360"/>
      <w:rPr>
        <w:b/>
        <w:color w:val="31849B" w:themeColor="accent5" w:themeShade="BF"/>
        <w:sz w:val="20"/>
        <w:szCs w:val="20"/>
      </w:rPr>
    </w:pPr>
    <w:r w:rsidRPr="00CC2A91">
      <w:rPr>
        <w:b/>
        <w:color w:val="31849B" w:themeColor="accent5" w:themeShade="BF"/>
        <w:sz w:val="20"/>
        <w:szCs w:val="20"/>
      </w:rPr>
      <w:t xml:space="preserve">PROJECT </w:t>
    </w:r>
    <w:r>
      <w:rPr>
        <w:b/>
        <w:color w:val="31849B" w:themeColor="accent5" w:themeShade="BF"/>
        <w:sz w:val="20"/>
        <w:szCs w:val="20"/>
      </w:rPr>
      <w:t>UK</w:t>
    </w:r>
    <w:r w:rsidRPr="00CC2A91">
      <w:rPr>
        <w:b/>
        <w:color w:val="31849B" w:themeColor="accent5" w:themeShade="BF"/>
        <w:sz w:val="20"/>
        <w:szCs w:val="20"/>
      </w:rPr>
      <w:tab/>
    </w:r>
    <w:r w:rsidRPr="00CC2A91">
      <w:rPr>
        <w:b/>
        <w:color w:val="31849B" w:themeColor="accent5" w:themeShade="BF"/>
        <w:sz w:val="20"/>
        <w:szCs w:val="20"/>
      </w:rPr>
      <w:tab/>
    </w:r>
    <w:r>
      <w:rPr>
        <w:b/>
        <w:color w:val="31849B" w:themeColor="accent5" w:themeShade="BF"/>
        <w:sz w:val="20"/>
        <w:szCs w:val="20"/>
      </w:rPr>
      <w:t>December</w:t>
    </w:r>
    <w:r w:rsidRPr="00CC2A91">
      <w:rPr>
        <w:b/>
        <w:color w:val="31849B" w:themeColor="accent5" w:themeShade="BF"/>
        <w:sz w:val="20"/>
        <w:szCs w:val="20"/>
      </w:rPr>
      <w:t xml:space="preserve"> 2016</w:t>
    </w:r>
  </w:p>
  <w:p w14:paraId="7ED9BD8A" w14:textId="729AC761" w:rsidR="00B77502" w:rsidRPr="00CC2A91" w:rsidRDefault="00B77502" w:rsidP="00CC2A91">
    <w:pPr>
      <w:pStyle w:val="Header"/>
      <w:rPr>
        <w:rFonts w:ascii="Calibri" w:hAnsi="Calibri"/>
        <w:color w:val="31849B"/>
        <w:sz w:val="20"/>
        <w:szCs w:val="20"/>
      </w:rPr>
    </w:pPr>
    <w:r w:rsidRPr="00CC2A91">
      <w:rPr>
        <w:rFonts w:ascii="Calibri" w:hAnsi="Calibri"/>
        <w:color w:val="31849B"/>
        <w:sz w:val="20"/>
        <w:szCs w:val="20"/>
      </w:rPr>
      <w:t xml:space="preserve">MSC pre-assessment for </w:t>
    </w:r>
    <w:r>
      <w:rPr>
        <w:rFonts w:ascii="Calibri" w:hAnsi="Calibri"/>
        <w:color w:val="31849B"/>
        <w:sz w:val="20"/>
        <w:szCs w:val="20"/>
      </w:rPr>
      <w:t>the Western Channel &amp; Celtic Sea edible crab</w:t>
    </w:r>
    <w:r w:rsidRPr="00CC2A91">
      <w:rPr>
        <w:rFonts w:ascii="Calibri" w:hAnsi="Calibri"/>
        <w:color w:val="31849B"/>
        <w:sz w:val="20"/>
        <w:szCs w:val="20"/>
      </w:rPr>
      <w:t xml:space="preserve"> fishery</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C1D7E1" w14:textId="77777777" w:rsidR="00B77502" w:rsidRPr="006605D8" w:rsidRDefault="00B77502" w:rsidP="006605D8">
    <w:pPr>
      <w:pStyle w:val="Footer"/>
      <w:rPr>
        <w:color w:val="31849B" w:themeColor="accent5" w:themeShade="BF"/>
      </w:rPr>
    </w:pPr>
    <w:r w:rsidRPr="006605D8">
      <w:rPr>
        <w:b/>
        <w:color w:val="31849B" w:themeColor="accent5" w:themeShade="BF"/>
      </w:rPr>
      <w:t>PROJECT MEDFISH</w:t>
    </w:r>
    <w:r w:rsidRPr="006605D8">
      <w:rPr>
        <w:color w:val="31849B" w:themeColor="accent5" w:themeShade="BF"/>
      </w:rPr>
      <w:tab/>
    </w:r>
    <w:r w:rsidRPr="006605D8">
      <w:rPr>
        <w:color w:val="31849B" w:themeColor="accent5" w:themeShade="BF"/>
      </w:rPr>
      <w:tab/>
      <w:t>May 2016</w:t>
    </w:r>
  </w:p>
  <w:p w14:paraId="2B83B6B2" w14:textId="77777777" w:rsidR="00B77502" w:rsidRPr="006605D8" w:rsidRDefault="00B77502" w:rsidP="006605D8">
    <w:pPr>
      <w:pStyle w:val="Footer"/>
      <w:rPr>
        <w:color w:val="31849B" w:themeColor="accent5" w:themeShade="BF"/>
      </w:rPr>
    </w:pPr>
    <w:r w:rsidRPr="006605D8">
      <w:rPr>
        <w:color w:val="31849B" w:themeColor="accent5" w:themeShade="BF"/>
      </w:rPr>
      <w:t>Stage 3 – Pre-Assessment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E00AA8" w14:textId="77777777" w:rsidR="00CD7864" w:rsidRDefault="00CD7864" w:rsidP="001855E0">
      <w:r>
        <w:separator/>
      </w:r>
    </w:p>
  </w:footnote>
  <w:footnote w:type="continuationSeparator" w:id="0">
    <w:p w14:paraId="0AC9DB1E" w14:textId="77777777" w:rsidR="00CD7864" w:rsidRDefault="00CD7864" w:rsidP="001855E0">
      <w:r>
        <w:continuationSeparator/>
      </w:r>
    </w:p>
  </w:footnote>
  <w:footnote w:type="continuationNotice" w:id="1">
    <w:p w14:paraId="65480B23" w14:textId="77777777" w:rsidR="00CD7864" w:rsidRDefault="00CD7864">
      <w:pPr>
        <w:spacing w:after="0"/>
      </w:pPr>
    </w:p>
  </w:footnote>
  <w:footnote w:id="2">
    <w:p w14:paraId="424E1B7B" w14:textId="1967DCD9" w:rsidR="00B77502" w:rsidRDefault="00B77502" w:rsidP="00932F45">
      <w:pPr>
        <w:pStyle w:val="FootnoteText"/>
      </w:pPr>
      <w:r>
        <w:rPr>
          <w:rStyle w:val="FootnoteReference"/>
        </w:rPr>
        <w:footnoteRef/>
      </w:r>
      <w:r>
        <w:t xml:space="preserve"> </w:t>
      </w:r>
      <w:proofErr w:type="spellStart"/>
      <w:r>
        <w:t>Futher</w:t>
      </w:r>
      <w:proofErr w:type="spellEnd"/>
      <w:r>
        <w:t xml:space="preserve"> details about Project Inshore, along with all reporting outputs are available on the Seafish website: </w:t>
      </w:r>
      <w:hyperlink r:id="rId1" w:history="1">
        <w:r w:rsidRPr="00961C44">
          <w:rPr>
            <w:rStyle w:val="Hyperlink"/>
          </w:rPr>
          <w:t>http://www.seafish.org/industry-support/fishing/project-inshore</w:t>
        </w:r>
      </w:hyperlink>
      <w:r>
        <w:t xml:space="preserve"> </w:t>
      </w:r>
    </w:p>
  </w:footnote>
  <w:footnote w:id="3">
    <w:p w14:paraId="783B29A1" w14:textId="30B9619C" w:rsidR="00B77502" w:rsidRDefault="00B77502">
      <w:pPr>
        <w:pStyle w:val="FootnoteText"/>
      </w:pPr>
      <w:r>
        <w:rPr>
          <w:rStyle w:val="FootnoteReference"/>
        </w:rPr>
        <w:footnoteRef/>
      </w:r>
      <w:r>
        <w:t xml:space="preserve"> MSC CRv2.1 </w:t>
      </w:r>
      <w:r w:rsidRPr="00F52168">
        <w:t>Version 2.1 | Issued: 20 February 2015 | Effective: 1 September 2015</w:t>
      </w:r>
      <w:r>
        <w:t xml:space="preserve">. Available for download at: </w:t>
      </w:r>
      <w:hyperlink r:id="rId2" w:anchor="FCR" w:history="1">
        <w:r w:rsidRPr="00A810D1">
          <w:rPr>
            <w:rStyle w:val="Hyperlink"/>
          </w:rPr>
          <w:t>https://www.msc.org/documents/scheme-documents/fisheries-certification-scheme-documents/fisheries-certification-scheme-documents#FCR</w:t>
        </w:r>
      </w:hyperlink>
      <w:r>
        <w:t xml:space="preserve"> </w:t>
      </w:r>
    </w:p>
  </w:footnote>
  <w:footnote w:id="4">
    <w:p w14:paraId="7A6CD45E" w14:textId="7ADEC3C4" w:rsidR="00B77502" w:rsidRDefault="00B77502" w:rsidP="00932F45">
      <w:pPr>
        <w:pStyle w:val="FootnoteText"/>
      </w:pPr>
      <w:r>
        <w:rPr>
          <w:rStyle w:val="FootnoteReference"/>
        </w:rPr>
        <w:footnoteRef/>
      </w:r>
      <w:r>
        <w:t xml:space="preserve"> With the exception of Sussex IFCA, </w:t>
      </w:r>
      <w:proofErr w:type="gramStart"/>
      <w:r>
        <w:t>which already had relevant results from an earlier project (</w:t>
      </w:r>
      <w:proofErr w:type="spellStart"/>
      <w:r>
        <w:t>Dapling</w:t>
      </w:r>
      <w:proofErr w:type="spellEnd"/>
      <w:r>
        <w:t xml:space="preserve"> </w:t>
      </w:r>
      <w:r w:rsidRPr="0076443F">
        <w:rPr>
          <w:i/>
        </w:rPr>
        <w:t>et al</w:t>
      </w:r>
      <w:r>
        <w:t xml:space="preserve"> 2010) which</w:t>
      </w:r>
      <w:r w:rsidRPr="0076443F">
        <w:t xml:space="preserve"> piloted </w:t>
      </w:r>
      <w:r>
        <w:t>the</w:t>
      </w:r>
      <w:r w:rsidRPr="0076443F">
        <w:t xml:space="preserve"> multi species </w:t>
      </w:r>
      <w:r>
        <w:t>MSC pre-assessment approach.</w:t>
      </w:r>
      <w:proofErr w:type="gramEnd"/>
    </w:p>
  </w:footnote>
  <w:footnote w:id="5">
    <w:p w14:paraId="0E98C914" w14:textId="06C6C86D" w:rsidR="00B77502" w:rsidRDefault="00B77502">
      <w:pPr>
        <w:pStyle w:val="FootnoteText"/>
      </w:pPr>
      <w:r>
        <w:rPr>
          <w:rStyle w:val="FootnoteReference"/>
        </w:rPr>
        <w:footnoteRef/>
      </w:r>
      <w:r>
        <w:t xml:space="preserve"> </w:t>
      </w:r>
      <w:hyperlink r:id="rId3" w:history="1">
        <w:r w:rsidRPr="00961C44">
          <w:rPr>
            <w:rStyle w:val="Hyperlink"/>
          </w:rPr>
          <w:t>http://www.seafish.org/industry-support/fishing/project-inshore/project-reports/stage-two-reports</w:t>
        </w:r>
      </w:hyperlink>
      <w:r>
        <w:t xml:space="preserve"> </w:t>
      </w:r>
    </w:p>
  </w:footnote>
  <w:footnote w:id="6">
    <w:p w14:paraId="0B9E1B28" w14:textId="37CBA471" w:rsidR="00B77502" w:rsidRDefault="00B77502">
      <w:pPr>
        <w:pStyle w:val="FootnoteText"/>
      </w:pPr>
      <w:r>
        <w:rPr>
          <w:rStyle w:val="FootnoteReference"/>
        </w:rPr>
        <w:footnoteRef/>
      </w:r>
      <w:r>
        <w:t xml:space="preserve"> </w:t>
      </w:r>
      <w:hyperlink r:id="rId4" w:history="1">
        <w:r w:rsidRPr="00961C44">
          <w:rPr>
            <w:rStyle w:val="Hyperlink"/>
          </w:rPr>
          <w:t>http://msc.solidproject.co.uk/msc-project-inshore.aspx</w:t>
        </w:r>
      </w:hyperlink>
      <w:r>
        <w:t xml:space="preserve"> </w:t>
      </w:r>
    </w:p>
  </w:footnote>
  <w:footnote w:id="7">
    <w:p w14:paraId="408E7290" w14:textId="4B3131EA" w:rsidR="00B77502" w:rsidRDefault="00B77502">
      <w:pPr>
        <w:pStyle w:val="FootnoteText"/>
      </w:pPr>
      <w:r>
        <w:rPr>
          <w:rStyle w:val="FootnoteReference"/>
        </w:rPr>
        <w:footnoteRef/>
      </w:r>
      <w:r>
        <w:t xml:space="preserve"> Assumed to be those vessels that sign-up to the client group management unit, and meet and comply with its rules – assumed to primarily comprise those vessels located and operating from South West ports, as well as those vessels in membership of regional </w:t>
      </w:r>
      <w:proofErr w:type="spellStart"/>
      <w:r>
        <w:t>POs.</w:t>
      </w:r>
      <w:proofErr w:type="spellEnd"/>
      <w:r>
        <w:t xml:space="preserve">   </w:t>
      </w:r>
    </w:p>
  </w:footnote>
  <w:footnote w:id="8">
    <w:p w14:paraId="3EAB7CA4" w14:textId="0A3BB355" w:rsidR="00B77502" w:rsidRDefault="00B77502">
      <w:pPr>
        <w:pStyle w:val="FootnoteText"/>
      </w:pPr>
      <w:r>
        <w:rPr>
          <w:rStyle w:val="FootnoteReference"/>
        </w:rPr>
        <w:footnoteRef/>
      </w:r>
      <w:r>
        <w:t xml:space="preserve"> This pre-assessment focuses on the English fisheries, and on this basis excludes the Welsh crab fishery</w:t>
      </w:r>
    </w:p>
  </w:footnote>
  <w:footnote w:id="9">
    <w:p w14:paraId="62AA9C4B" w14:textId="1B902C13" w:rsidR="00B77502" w:rsidRDefault="00B77502">
      <w:pPr>
        <w:pStyle w:val="FootnoteText"/>
      </w:pPr>
      <w:r>
        <w:rPr>
          <w:rStyle w:val="FootnoteReference"/>
        </w:rPr>
        <w:footnoteRef/>
      </w:r>
      <w:r>
        <w:t xml:space="preserve"> Larger crab vessels (grouped as “</w:t>
      </w:r>
      <w:proofErr w:type="spellStart"/>
      <w:r>
        <w:t>vivier</w:t>
      </w:r>
      <w:proofErr w:type="spellEnd"/>
      <w:r>
        <w:t>” vessels) are operated on a nomadic basis, relocating to more economically rewarding grounds as opportunities arise, including targeting whelk fisheries; these vessels are registered in various parts of the UK, including Northern Ireland and Scotland, and at least part of this fleet exploits Western Channel and Celtic Sea edible crab fishery.</w:t>
      </w:r>
    </w:p>
  </w:footnote>
  <w:footnote w:id="10">
    <w:p w14:paraId="1F2F3E8F" w14:textId="21DF99F6" w:rsidR="00B77502" w:rsidRDefault="00B77502">
      <w:pPr>
        <w:pStyle w:val="FootnoteText"/>
      </w:pPr>
      <w:r>
        <w:rPr>
          <w:rStyle w:val="FootnoteReference"/>
        </w:rPr>
        <w:footnoteRef/>
      </w:r>
      <w:r>
        <w:t xml:space="preserve"> fresh bait (such fish frames and parts of fish) is used where edible crab is targeted; “smelly” bait (such as salted mackerel or herring) is used when lobster is targeted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05489" w14:textId="77777777" w:rsidR="00B77502" w:rsidRDefault="00B77502">
    <w:pPr>
      <w:pStyle w:val="Header"/>
    </w:pPr>
    <w:r>
      <w:rPr>
        <w:noProof/>
        <w:lang w:eastAsia="en-GB"/>
      </w:rPr>
      <w:drawing>
        <wp:inline distT="0" distB="0" distL="0" distR="0" wp14:anchorId="0E92CC8E" wp14:editId="30BE2899">
          <wp:extent cx="1737360" cy="518160"/>
          <wp:effectExtent l="0" t="0" r="0" b="0"/>
          <wp:docPr id="41" name="Picture 2" descr="Description: Acoura Strapline Free copy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coura Strapline Free copy2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7360" cy="518160"/>
                  </a:xfrm>
                  <a:prstGeom prst="rect">
                    <a:avLst/>
                  </a:prstGeom>
                  <a:noFill/>
                  <a:ln>
                    <a:noFill/>
                  </a:ln>
                </pic:spPr>
              </pic:pic>
            </a:graphicData>
          </a:graphic>
        </wp:inline>
      </w:drawing>
    </w:r>
    <w:r>
      <w:tab/>
    </w:r>
    <w:r>
      <w:tab/>
    </w:r>
    <w:r>
      <w:rPr>
        <w:noProof/>
        <w:lang w:eastAsia="en-GB"/>
      </w:rPr>
      <w:drawing>
        <wp:inline distT="0" distB="0" distL="0" distR="0" wp14:anchorId="0A28343A" wp14:editId="436842DA">
          <wp:extent cx="1452880" cy="1158240"/>
          <wp:effectExtent l="0" t="0" r="0" b="10160"/>
          <wp:docPr id="42" name="Picture 17" descr="Description: fisherie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fisheries copy"/>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2880" cy="115824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8F49FE" w14:textId="77777777" w:rsidR="00B77502" w:rsidRPr="00CC2A91" w:rsidRDefault="00B77502" w:rsidP="00CC2A91">
    <w:pPr>
      <w:pStyle w:val="Header"/>
    </w:pPr>
    <w:r>
      <w:rPr>
        <w:noProof/>
        <w:lang w:eastAsia="en-GB"/>
      </w:rPr>
      <w:drawing>
        <wp:anchor distT="0" distB="0" distL="114300" distR="114300" simplePos="0" relativeHeight="251658240" behindDoc="0" locked="0" layoutInCell="1" allowOverlap="1" wp14:anchorId="11D97E5D" wp14:editId="5FD16F1B">
          <wp:simplePos x="0" y="0"/>
          <wp:positionH relativeFrom="column">
            <wp:posOffset>5937250</wp:posOffset>
          </wp:positionH>
          <wp:positionV relativeFrom="paragraph">
            <wp:posOffset>-220980</wp:posOffset>
          </wp:positionV>
          <wp:extent cx="467360" cy="467360"/>
          <wp:effectExtent l="0" t="0" r="0" b="0"/>
          <wp:wrapNone/>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360" cy="4673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A33E2" w14:textId="77777777" w:rsidR="00B77502" w:rsidRPr="00CC2A91" w:rsidRDefault="00B77502" w:rsidP="00CC2A91">
    <w:pPr>
      <w:pStyle w:val="Header"/>
    </w:pPr>
    <w:r>
      <w:rPr>
        <w:noProof/>
        <w:lang w:eastAsia="en-GB"/>
      </w:rPr>
      <w:drawing>
        <wp:anchor distT="0" distB="0" distL="114300" distR="114300" simplePos="0" relativeHeight="251663360" behindDoc="0" locked="0" layoutInCell="1" allowOverlap="1" wp14:anchorId="22D53700" wp14:editId="68ABC2EE">
          <wp:simplePos x="0" y="0"/>
          <wp:positionH relativeFrom="column">
            <wp:posOffset>5937250</wp:posOffset>
          </wp:positionH>
          <wp:positionV relativeFrom="paragraph">
            <wp:posOffset>-220980</wp:posOffset>
          </wp:positionV>
          <wp:extent cx="467360" cy="46736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360" cy="4673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0A09E" w14:textId="77777777" w:rsidR="00B77502" w:rsidRPr="00CC2A91" w:rsidRDefault="00B77502" w:rsidP="00CC2A91">
    <w:pPr>
      <w:pStyle w:val="Header"/>
    </w:pPr>
    <w:r>
      <w:rPr>
        <w:noProof/>
        <w:lang w:eastAsia="en-GB"/>
      </w:rPr>
      <w:drawing>
        <wp:anchor distT="0" distB="0" distL="114300" distR="114300" simplePos="0" relativeHeight="251660288" behindDoc="0" locked="0" layoutInCell="1" allowOverlap="1" wp14:anchorId="00A036EE" wp14:editId="1D67ECF4">
          <wp:simplePos x="0" y="0"/>
          <wp:positionH relativeFrom="column">
            <wp:posOffset>9080500</wp:posOffset>
          </wp:positionH>
          <wp:positionV relativeFrom="paragraph">
            <wp:posOffset>-220980</wp:posOffset>
          </wp:positionV>
          <wp:extent cx="467360" cy="4673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360" cy="4673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1AFE81" w14:textId="77777777" w:rsidR="00B77502" w:rsidRDefault="00B77502" w:rsidP="00CC2A91">
    <w:pPr>
      <w:pStyle w:val="Header"/>
      <w:tabs>
        <w:tab w:val="clear" w:pos="4513"/>
        <w:tab w:val="clear" w:pos="9026"/>
        <w:tab w:val="left" w:pos="7376"/>
      </w:tabs>
    </w:pPr>
    <w:r>
      <w:rPr>
        <w:noProof/>
        <w:lang w:eastAsia="en-GB"/>
      </w:rPr>
      <w:drawing>
        <wp:anchor distT="0" distB="0" distL="114300" distR="114300" simplePos="0" relativeHeight="251661312" behindDoc="0" locked="0" layoutInCell="1" allowOverlap="1" wp14:anchorId="36FA11BA" wp14:editId="3286DDAE">
          <wp:simplePos x="0" y="0"/>
          <wp:positionH relativeFrom="column">
            <wp:posOffset>5797550</wp:posOffset>
          </wp:positionH>
          <wp:positionV relativeFrom="paragraph">
            <wp:posOffset>-220980</wp:posOffset>
          </wp:positionV>
          <wp:extent cx="467360" cy="467360"/>
          <wp:effectExtent l="0" t="0" r="0" b="0"/>
          <wp:wrapThrough wrapText="bothSides">
            <wp:wrapPolygon edited="0">
              <wp:start x="0" y="0"/>
              <wp:lineTo x="0" y="19957"/>
              <wp:lineTo x="19957" y="19957"/>
              <wp:lineTo x="19957" y="0"/>
              <wp:lineTo x="0" y="0"/>
            </wp:wrapPolygon>
          </wp:wrapThrough>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360" cy="46736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9860B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680882E8"/>
    <w:lvl w:ilvl="0">
      <w:start w:val="1"/>
      <w:numFmt w:val="bullet"/>
      <w:pStyle w:val="SDRTracing"/>
      <w:lvlText w:val=""/>
      <w:lvlJc w:val="left"/>
      <w:pPr>
        <w:tabs>
          <w:tab w:val="num" w:pos="360"/>
        </w:tabs>
        <w:ind w:left="360" w:hanging="360"/>
      </w:pPr>
      <w:rPr>
        <w:rFonts w:ascii="Symbol" w:hAnsi="Symbol" w:hint="default"/>
      </w:rPr>
    </w:lvl>
  </w:abstractNum>
  <w:abstractNum w:abstractNumId="2">
    <w:nsid w:val="06BE6338"/>
    <w:multiLevelType w:val="hybridMultilevel"/>
    <w:tmpl w:val="C07C0374"/>
    <w:lvl w:ilvl="0" w:tplc="08090001">
      <w:start w:val="1"/>
      <w:numFmt w:val="bullet"/>
      <w:lvlText w:val=""/>
      <w:lvlJc w:val="left"/>
      <w:pPr>
        <w:ind w:left="720" w:hanging="360"/>
      </w:pPr>
      <w:rPr>
        <w:rFonts w:ascii="Symbol" w:hAnsi="Symbol" w:hint="default"/>
      </w:rPr>
    </w:lvl>
    <w:lvl w:ilvl="1" w:tplc="3606DFE2">
      <w:numFmt w:val="bullet"/>
      <w:lvlText w:val="•"/>
      <w:lvlJc w:val="left"/>
      <w:pPr>
        <w:ind w:left="1800" w:hanging="720"/>
      </w:pPr>
      <w:rPr>
        <w:rFonts w:ascii="Calibri" w:eastAsia="Times New Roman" w:hAnsi="Calibri"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B6F48CB"/>
    <w:multiLevelType w:val="multilevel"/>
    <w:tmpl w:val="DDEC2528"/>
    <w:lvl w:ilvl="0">
      <w:start w:val="1"/>
      <w:numFmt w:val="decimal"/>
      <w:lvlText w:val="%1"/>
      <w:lvlJc w:val="left"/>
      <w:pPr>
        <w:ind w:left="360" w:hanging="360"/>
      </w:pPr>
      <w:rPr>
        <w:rFonts w:asciiTheme="majorHAnsi" w:eastAsia="MS Gothic" w:hAnsiTheme="majorHAnsi" w:cs="Times New Roman"/>
      </w:rPr>
    </w:lvl>
    <w:lvl w:ilvl="1">
      <w:start w:val="1"/>
      <w:numFmt w:val="decimal"/>
      <w:pStyle w:val="Heading2"/>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0E353C36"/>
    <w:multiLevelType w:val="hybridMultilevel"/>
    <w:tmpl w:val="1A441C60"/>
    <w:lvl w:ilvl="0" w:tplc="EDEAC070">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9D81A83"/>
    <w:multiLevelType w:val="hybridMultilevel"/>
    <w:tmpl w:val="92821A0E"/>
    <w:lvl w:ilvl="0" w:tplc="EB1C526A">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C163B16"/>
    <w:multiLevelType w:val="hybridMultilevel"/>
    <w:tmpl w:val="E6A6FE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C663B0D"/>
    <w:multiLevelType w:val="hybridMultilevel"/>
    <w:tmpl w:val="24A06E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4A47B2"/>
    <w:multiLevelType w:val="hybridMultilevel"/>
    <w:tmpl w:val="7A50F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AB3953"/>
    <w:multiLevelType w:val="hybridMultilevel"/>
    <w:tmpl w:val="ACD02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545F57"/>
    <w:multiLevelType w:val="hybridMultilevel"/>
    <w:tmpl w:val="206EC7B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24CD742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6F42403"/>
    <w:multiLevelType w:val="hybridMultilevel"/>
    <w:tmpl w:val="7AC430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C835A6F"/>
    <w:multiLevelType w:val="hybridMultilevel"/>
    <w:tmpl w:val="33689F70"/>
    <w:lvl w:ilvl="0" w:tplc="ED9AB9B2">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E815520"/>
    <w:multiLevelType w:val="hybridMultilevel"/>
    <w:tmpl w:val="A68E323E"/>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5">
    <w:nsid w:val="329D7923"/>
    <w:multiLevelType w:val="hybridMultilevel"/>
    <w:tmpl w:val="301AAB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EAA4304"/>
    <w:multiLevelType w:val="hybridMultilevel"/>
    <w:tmpl w:val="306AC1B0"/>
    <w:lvl w:ilvl="0" w:tplc="469E8F2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3EB97182"/>
    <w:multiLevelType w:val="hybridMultilevel"/>
    <w:tmpl w:val="A34E5910"/>
    <w:lvl w:ilvl="0" w:tplc="EDEAC07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FA72D76"/>
    <w:multiLevelType w:val="hybridMultilevel"/>
    <w:tmpl w:val="951A8EE6"/>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9">
    <w:nsid w:val="43D62124"/>
    <w:multiLevelType w:val="hybridMultilevel"/>
    <w:tmpl w:val="485C789C"/>
    <w:lvl w:ilvl="0" w:tplc="08090019">
      <w:start w:val="1"/>
      <w:numFmt w:val="lowerLetter"/>
      <w:pStyle w:val="MSCTemplate"/>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4ED46A26"/>
    <w:multiLevelType w:val="hybridMultilevel"/>
    <w:tmpl w:val="31525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146240"/>
    <w:multiLevelType w:val="hybridMultilevel"/>
    <w:tmpl w:val="E9AADC0C"/>
    <w:lvl w:ilvl="0" w:tplc="0809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71E55F6"/>
    <w:multiLevelType w:val="hybridMultilevel"/>
    <w:tmpl w:val="10A87F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8866762"/>
    <w:multiLevelType w:val="multilevel"/>
    <w:tmpl w:val="F3629C8C"/>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nsid w:val="5AB47CF9"/>
    <w:multiLevelType w:val="hybridMultilevel"/>
    <w:tmpl w:val="3F7E2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41674DD"/>
    <w:multiLevelType w:val="hybridMultilevel"/>
    <w:tmpl w:val="2034C8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C194081"/>
    <w:multiLevelType w:val="hybridMultilevel"/>
    <w:tmpl w:val="9132B80E"/>
    <w:lvl w:ilvl="0" w:tplc="DFB85246">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6E4933BF"/>
    <w:multiLevelType w:val="hybridMultilevel"/>
    <w:tmpl w:val="30966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7D1636A"/>
    <w:multiLevelType w:val="hybridMultilevel"/>
    <w:tmpl w:val="3C10A1A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78436ACC"/>
    <w:multiLevelType w:val="hybridMultilevel"/>
    <w:tmpl w:val="BC9C612E"/>
    <w:lvl w:ilvl="0" w:tplc="DFB85246">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9"/>
  </w:num>
  <w:num w:numId="2">
    <w:abstractNumId w:val="1"/>
  </w:num>
  <w:num w:numId="3">
    <w:abstractNumId w:val="3"/>
  </w:num>
  <w:num w:numId="4">
    <w:abstractNumId w:val="16"/>
  </w:num>
  <w:num w:numId="5">
    <w:abstractNumId w:val="11"/>
  </w:num>
  <w:num w:numId="6">
    <w:abstractNumId w:val="7"/>
  </w:num>
  <w:num w:numId="7">
    <w:abstractNumId w:val="27"/>
  </w:num>
  <w:num w:numId="8">
    <w:abstractNumId w:val="20"/>
  </w:num>
  <w:num w:numId="9">
    <w:abstractNumId w:val="9"/>
  </w:num>
  <w:num w:numId="10">
    <w:abstractNumId w:val="6"/>
  </w:num>
  <w:num w:numId="11">
    <w:abstractNumId w:val="2"/>
  </w:num>
  <w:num w:numId="12">
    <w:abstractNumId w:val="15"/>
  </w:num>
  <w:num w:numId="13">
    <w:abstractNumId w:val="21"/>
  </w:num>
  <w:num w:numId="14">
    <w:abstractNumId w:val="22"/>
  </w:num>
  <w:num w:numId="15">
    <w:abstractNumId w:val="8"/>
  </w:num>
  <w:num w:numId="16">
    <w:abstractNumId w:val="24"/>
  </w:num>
  <w:num w:numId="17">
    <w:abstractNumId w:val="12"/>
  </w:num>
  <w:num w:numId="18">
    <w:abstractNumId w:val="0"/>
  </w:num>
  <w:num w:numId="19">
    <w:abstractNumId w:val="14"/>
  </w:num>
  <w:num w:numId="20">
    <w:abstractNumId w:val="25"/>
  </w:num>
  <w:num w:numId="21">
    <w:abstractNumId w:val="5"/>
  </w:num>
  <w:num w:numId="22">
    <w:abstractNumId w:val="13"/>
  </w:num>
  <w:num w:numId="23">
    <w:abstractNumId w:val="23"/>
  </w:num>
  <w:num w:numId="24">
    <w:abstractNumId w:val="18"/>
  </w:num>
  <w:num w:numId="25">
    <w:abstractNumId w:val="10"/>
  </w:num>
  <w:num w:numId="26">
    <w:abstractNumId w:val="29"/>
  </w:num>
  <w:num w:numId="27">
    <w:abstractNumId w:val="26"/>
  </w:num>
  <w:num w:numId="28">
    <w:abstractNumId w:val="28"/>
  </w:num>
  <w:num w:numId="29">
    <w:abstractNumId w:val="4"/>
  </w:num>
  <w:num w:numId="30">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4AE"/>
    <w:rsid w:val="0000068E"/>
    <w:rsid w:val="000225F9"/>
    <w:rsid w:val="00022B86"/>
    <w:rsid w:val="0002486E"/>
    <w:rsid w:val="00024C4B"/>
    <w:rsid w:val="00024D42"/>
    <w:rsid w:val="00030620"/>
    <w:rsid w:val="00030B01"/>
    <w:rsid w:val="00031FDE"/>
    <w:rsid w:val="0003611F"/>
    <w:rsid w:val="00040E6E"/>
    <w:rsid w:val="00041CE6"/>
    <w:rsid w:val="00044910"/>
    <w:rsid w:val="00044B5F"/>
    <w:rsid w:val="0005297E"/>
    <w:rsid w:val="00060104"/>
    <w:rsid w:val="000610B3"/>
    <w:rsid w:val="00062114"/>
    <w:rsid w:val="00064DC2"/>
    <w:rsid w:val="00067494"/>
    <w:rsid w:val="0007342A"/>
    <w:rsid w:val="00075987"/>
    <w:rsid w:val="00076606"/>
    <w:rsid w:val="000826D1"/>
    <w:rsid w:val="00083003"/>
    <w:rsid w:val="00084D2B"/>
    <w:rsid w:val="000852EF"/>
    <w:rsid w:val="000858C7"/>
    <w:rsid w:val="000863A5"/>
    <w:rsid w:val="00094A9C"/>
    <w:rsid w:val="000965EC"/>
    <w:rsid w:val="000968EC"/>
    <w:rsid w:val="000A09D5"/>
    <w:rsid w:val="000A39D4"/>
    <w:rsid w:val="000B001C"/>
    <w:rsid w:val="000B7010"/>
    <w:rsid w:val="000C1AD0"/>
    <w:rsid w:val="000C3253"/>
    <w:rsid w:val="000C7932"/>
    <w:rsid w:val="000D1ECD"/>
    <w:rsid w:val="000D27B2"/>
    <w:rsid w:val="000D3380"/>
    <w:rsid w:val="000D7E55"/>
    <w:rsid w:val="000F1538"/>
    <w:rsid w:val="000F2502"/>
    <w:rsid w:val="000F5C7C"/>
    <w:rsid w:val="000F67FC"/>
    <w:rsid w:val="000F6AFA"/>
    <w:rsid w:val="00107ABF"/>
    <w:rsid w:val="001143A6"/>
    <w:rsid w:val="00115226"/>
    <w:rsid w:val="0012212B"/>
    <w:rsid w:val="00124220"/>
    <w:rsid w:val="00125C69"/>
    <w:rsid w:val="001267AD"/>
    <w:rsid w:val="001343EC"/>
    <w:rsid w:val="00143417"/>
    <w:rsid w:val="00144357"/>
    <w:rsid w:val="001456D9"/>
    <w:rsid w:val="001466DC"/>
    <w:rsid w:val="00161C98"/>
    <w:rsid w:val="00161E83"/>
    <w:rsid w:val="00163F61"/>
    <w:rsid w:val="00171A99"/>
    <w:rsid w:val="001768D8"/>
    <w:rsid w:val="001813F9"/>
    <w:rsid w:val="00183218"/>
    <w:rsid w:val="001847BC"/>
    <w:rsid w:val="00184DCD"/>
    <w:rsid w:val="001855E0"/>
    <w:rsid w:val="0019273B"/>
    <w:rsid w:val="00194024"/>
    <w:rsid w:val="001947B4"/>
    <w:rsid w:val="001A108D"/>
    <w:rsid w:val="001A5858"/>
    <w:rsid w:val="001A58B8"/>
    <w:rsid w:val="001B160F"/>
    <w:rsid w:val="001B2F47"/>
    <w:rsid w:val="001B44D9"/>
    <w:rsid w:val="001B46B0"/>
    <w:rsid w:val="001B6E72"/>
    <w:rsid w:val="001C11A5"/>
    <w:rsid w:val="001C1623"/>
    <w:rsid w:val="001C3BF2"/>
    <w:rsid w:val="001C43E3"/>
    <w:rsid w:val="001D111D"/>
    <w:rsid w:val="001D1738"/>
    <w:rsid w:val="001D3708"/>
    <w:rsid w:val="001D4B12"/>
    <w:rsid w:val="001D55D1"/>
    <w:rsid w:val="001E0B70"/>
    <w:rsid w:val="001E4C15"/>
    <w:rsid w:val="001E6503"/>
    <w:rsid w:val="001E6AF4"/>
    <w:rsid w:val="001F1D8F"/>
    <w:rsid w:val="001F4D10"/>
    <w:rsid w:val="001F62EE"/>
    <w:rsid w:val="00200EDA"/>
    <w:rsid w:val="00202B01"/>
    <w:rsid w:val="00210944"/>
    <w:rsid w:val="00223A74"/>
    <w:rsid w:val="00223EE7"/>
    <w:rsid w:val="00227BE8"/>
    <w:rsid w:val="00230D3A"/>
    <w:rsid w:val="0023364D"/>
    <w:rsid w:val="00233F6C"/>
    <w:rsid w:val="002432AC"/>
    <w:rsid w:val="002472FC"/>
    <w:rsid w:val="00250BFD"/>
    <w:rsid w:val="0025311E"/>
    <w:rsid w:val="002545E8"/>
    <w:rsid w:val="00263467"/>
    <w:rsid w:val="002653D6"/>
    <w:rsid w:val="002661B0"/>
    <w:rsid w:val="002730BA"/>
    <w:rsid w:val="002747FE"/>
    <w:rsid w:val="00275FD5"/>
    <w:rsid w:val="00287F55"/>
    <w:rsid w:val="002A14C3"/>
    <w:rsid w:val="002A30A0"/>
    <w:rsid w:val="002A7130"/>
    <w:rsid w:val="002A7D03"/>
    <w:rsid w:val="002B7183"/>
    <w:rsid w:val="002C32B9"/>
    <w:rsid w:val="002C38B0"/>
    <w:rsid w:val="002C51C0"/>
    <w:rsid w:val="002C6834"/>
    <w:rsid w:val="002C73D9"/>
    <w:rsid w:val="002D168E"/>
    <w:rsid w:val="002D1E9E"/>
    <w:rsid w:val="002D4B4A"/>
    <w:rsid w:val="002D4E32"/>
    <w:rsid w:val="002D4F8A"/>
    <w:rsid w:val="002E2344"/>
    <w:rsid w:val="002E4D52"/>
    <w:rsid w:val="002F02A6"/>
    <w:rsid w:val="002F2421"/>
    <w:rsid w:val="002F2A37"/>
    <w:rsid w:val="003004AE"/>
    <w:rsid w:val="00302410"/>
    <w:rsid w:val="003038BE"/>
    <w:rsid w:val="00310243"/>
    <w:rsid w:val="00316A3D"/>
    <w:rsid w:val="00316A48"/>
    <w:rsid w:val="00323770"/>
    <w:rsid w:val="00324674"/>
    <w:rsid w:val="00326D59"/>
    <w:rsid w:val="00327CC3"/>
    <w:rsid w:val="003346A9"/>
    <w:rsid w:val="00335602"/>
    <w:rsid w:val="00337BEB"/>
    <w:rsid w:val="00341395"/>
    <w:rsid w:val="003414E5"/>
    <w:rsid w:val="00341658"/>
    <w:rsid w:val="00341897"/>
    <w:rsid w:val="00342BF5"/>
    <w:rsid w:val="00346B89"/>
    <w:rsid w:val="00353906"/>
    <w:rsid w:val="00354009"/>
    <w:rsid w:val="00363905"/>
    <w:rsid w:val="00364C9B"/>
    <w:rsid w:val="00373628"/>
    <w:rsid w:val="0037639D"/>
    <w:rsid w:val="003824F2"/>
    <w:rsid w:val="00382EB0"/>
    <w:rsid w:val="00382FA8"/>
    <w:rsid w:val="003935AC"/>
    <w:rsid w:val="0039658C"/>
    <w:rsid w:val="00397280"/>
    <w:rsid w:val="003A458D"/>
    <w:rsid w:val="003A593A"/>
    <w:rsid w:val="003A619E"/>
    <w:rsid w:val="003A74F3"/>
    <w:rsid w:val="003B086C"/>
    <w:rsid w:val="003B17B9"/>
    <w:rsid w:val="003B39EF"/>
    <w:rsid w:val="003C62C9"/>
    <w:rsid w:val="003E08F3"/>
    <w:rsid w:val="003F1232"/>
    <w:rsid w:val="003F1DA7"/>
    <w:rsid w:val="003F3255"/>
    <w:rsid w:val="003F6568"/>
    <w:rsid w:val="003F7F7B"/>
    <w:rsid w:val="0040520A"/>
    <w:rsid w:val="00407898"/>
    <w:rsid w:val="004079B7"/>
    <w:rsid w:val="00412320"/>
    <w:rsid w:val="00434247"/>
    <w:rsid w:val="00440893"/>
    <w:rsid w:val="00450D0C"/>
    <w:rsid w:val="00452B5B"/>
    <w:rsid w:val="004531D1"/>
    <w:rsid w:val="0045503A"/>
    <w:rsid w:val="00457C99"/>
    <w:rsid w:val="004611EF"/>
    <w:rsid w:val="00462E7E"/>
    <w:rsid w:val="00463D47"/>
    <w:rsid w:val="00463DFF"/>
    <w:rsid w:val="004679E8"/>
    <w:rsid w:val="0047287B"/>
    <w:rsid w:val="0047443A"/>
    <w:rsid w:val="004806B6"/>
    <w:rsid w:val="00483116"/>
    <w:rsid w:val="00483E05"/>
    <w:rsid w:val="0049311E"/>
    <w:rsid w:val="004977FF"/>
    <w:rsid w:val="004A26DB"/>
    <w:rsid w:val="004A4B1A"/>
    <w:rsid w:val="004A4E13"/>
    <w:rsid w:val="004A6643"/>
    <w:rsid w:val="004A7054"/>
    <w:rsid w:val="004A736A"/>
    <w:rsid w:val="004B0120"/>
    <w:rsid w:val="004B33D3"/>
    <w:rsid w:val="004B442E"/>
    <w:rsid w:val="004B681D"/>
    <w:rsid w:val="004C18F5"/>
    <w:rsid w:val="004C450B"/>
    <w:rsid w:val="004D07DE"/>
    <w:rsid w:val="004D21DC"/>
    <w:rsid w:val="004D38BD"/>
    <w:rsid w:val="004D5D63"/>
    <w:rsid w:val="004E1260"/>
    <w:rsid w:val="004E6D84"/>
    <w:rsid w:val="004F15A4"/>
    <w:rsid w:val="004F43D4"/>
    <w:rsid w:val="004F47FD"/>
    <w:rsid w:val="004F61D0"/>
    <w:rsid w:val="00500272"/>
    <w:rsid w:val="00503AD4"/>
    <w:rsid w:val="0051391B"/>
    <w:rsid w:val="005144F1"/>
    <w:rsid w:val="00517A17"/>
    <w:rsid w:val="0052328B"/>
    <w:rsid w:val="00523F62"/>
    <w:rsid w:val="00526F97"/>
    <w:rsid w:val="00532A4F"/>
    <w:rsid w:val="00533788"/>
    <w:rsid w:val="00535A77"/>
    <w:rsid w:val="00535AE5"/>
    <w:rsid w:val="00536EEB"/>
    <w:rsid w:val="0054152A"/>
    <w:rsid w:val="00543F05"/>
    <w:rsid w:val="00544D3C"/>
    <w:rsid w:val="005476E3"/>
    <w:rsid w:val="00551874"/>
    <w:rsid w:val="00552F52"/>
    <w:rsid w:val="00567940"/>
    <w:rsid w:val="00572F82"/>
    <w:rsid w:val="005747FC"/>
    <w:rsid w:val="00586248"/>
    <w:rsid w:val="00596888"/>
    <w:rsid w:val="005A14BE"/>
    <w:rsid w:val="005A1969"/>
    <w:rsid w:val="005A3859"/>
    <w:rsid w:val="005A5A8B"/>
    <w:rsid w:val="005A626D"/>
    <w:rsid w:val="005B0317"/>
    <w:rsid w:val="005B22B7"/>
    <w:rsid w:val="005B287F"/>
    <w:rsid w:val="005B6DC8"/>
    <w:rsid w:val="005C0697"/>
    <w:rsid w:val="005C0C94"/>
    <w:rsid w:val="005C2BFD"/>
    <w:rsid w:val="005C4715"/>
    <w:rsid w:val="005C5AE7"/>
    <w:rsid w:val="005D2DBC"/>
    <w:rsid w:val="005D6222"/>
    <w:rsid w:val="005E080D"/>
    <w:rsid w:val="005E5E8E"/>
    <w:rsid w:val="005F0E75"/>
    <w:rsid w:val="005F5933"/>
    <w:rsid w:val="005F6D50"/>
    <w:rsid w:val="00600A49"/>
    <w:rsid w:val="00601655"/>
    <w:rsid w:val="00602893"/>
    <w:rsid w:val="006038A2"/>
    <w:rsid w:val="0061041F"/>
    <w:rsid w:val="0061090F"/>
    <w:rsid w:val="00611E4B"/>
    <w:rsid w:val="00622CBF"/>
    <w:rsid w:val="00622D23"/>
    <w:rsid w:val="00624617"/>
    <w:rsid w:val="00632893"/>
    <w:rsid w:val="00633044"/>
    <w:rsid w:val="00633056"/>
    <w:rsid w:val="00636B56"/>
    <w:rsid w:val="00643EE0"/>
    <w:rsid w:val="00647D1B"/>
    <w:rsid w:val="006510D6"/>
    <w:rsid w:val="00654649"/>
    <w:rsid w:val="00654B92"/>
    <w:rsid w:val="00657939"/>
    <w:rsid w:val="006605D8"/>
    <w:rsid w:val="00660E14"/>
    <w:rsid w:val="006707B4"/>
    <w:rsid w:val="00671432"/>
    <w:rsid w:val="00677E4B"/>
    <w:rsid w:val="006816A8"/>
    <w:rsid w:val="00686E01"/>
    <w:rsid w:val="00690240"/>
    <w:rsid w:val="006906B8"/>
    <w:rsid w:val="006921E4"/>
    <w:rsid w:val="00694C3A"/>
    <w:rsid w:val="006A4C69"/>
    <w:rsid w:val="006A69D1"/>
    <w:rsid w:val="006B15BC"/>
    <w:rsid w:val="006B2D9F"/>
    <w:rsid w:val="006B3389"/>
    <w:rsid w:val="006B4B31"/>
    <w:rsid w:val="006B4B47"/>
    <w:rsid w:val="006B4CB4"/>
    <w:rsid w:val="006B4F3C"/>
    <w:rsid w:val="006B6E25"/>
    <w:rsid w:val="006C27A0"/>
    <w:rsid w:val="006C3DA4"/>
    <w:rsid w:val="006C6640"/>
    <w:rsid w:val="006D04EF"/>
    <w:rsid w:val="006D10BC"/>
    <w:rsid w:val="006D4B12"/>
    <w:rsid w:val="006D4E0D"/>
    <w:rsid w:val="006D61ED"/>
    <w:rsid w:val="006E02EE"/>
    <w:rsid w:val="006E662D"/>
    <w:rsid w:val="006E7FB5"/>
    <w:rsid w:val="006F0DD8"/>
    <w:rsid w:val="006F19AF"/>
    <w:rsid w:val="006F276D"/>
    <w:rsid w:val="006F4301"/>
    <w:rsid w:val="00705B63"/>
    <w:rsid w:val="0070751D"/>
    <w:rsid w:val="00710249"/>
    <w:rsid w:val="00710269"/>
    <w:rsid w:val="007110DD"/>
    <w:rsid w:val="0071293B"/>
    <w:rsid w:val="00712F05"/>
    <w:rsid w:val="0071328E"/>
    <w:rsid w:val="00713649"/>
    <w:rsid w:val="00713B12"/>
    <w:rsid w:val="007141B0"/>
    <w:rsid w:val="00714536"/>
    <w:rsid w:val="00717136"/>
    <w:rsid w:val="00722FC7"/>
    <w:rsid w:val="0072515E"/>
    <w:rsid w:val="00725D7D"/>
    <w:rsid w:val="007262CA"/>
    <w:rsid w:val="00745813"/>
    <w:rsid w:val="00745E56"/>
    <w:rsid w:val="00746705"/>
    <w:rsid w:val="00752EA7"/>
    <w:rsid w:val="007532AE"/>
    <w:rsid w:val="0076443F"/>
    <w:rsid w:val="00764E35"/>
    <w:rsid w:val="00772C50"/>
    <w:rsid w:val="00781B5A"/>
    <w:rsid w:val="0078204C"/>
    <w:rsid w:val="00785A46"/>
    <w:rsid w:val="00786C86"/>
    <w:rsid w:val="00786DB9"/>
    <w:rsid w:val="007A0DB8"/>
    <w:rsid w:val="007A4D1D"/>
    <w:rsid w:val="007A74AE"/>
    <w:rsid w:val="007B073D"/>
    <w:rsid w:val="007B53D4"/>
    <w:rsid w:val="007C1313"/>
    <w:rsid w:val="007C5689"/>
    <w:rsid w:val="007D1121"/>
    <w:rsid w:val="007D1E56"/>
    <w:rsid w:val="007D23F5"/>
    <w:rsid w:val="007D595E"/>
    <w:rsid w:val="007D71BD"/>
    <w:rsid w:val="007E0995"/>
    <w:rsid w:val="007E2C57"/>
    <w:rsid w:val="007F0C67"/>
    <w:rsid w:val="007F2AF8"/>
    <w:rsid w:val="007F566E"/>
    <w:rsid w:val="007F63F5"/>
    <w:rsid w:val="007F6CF3"/>
    <w:rsid w:val="00803A21"/>
    <w:rsid w:val="00810B2A"/>
    <w:rsid w:val="0081111A"/>
    <w:rsid w:val="008124CE"/>
    <w:rsid w:val="008169F8"/>
    <w:rsid w:val="00833914"/>
    <w:rsid w:val="00836744"/>
    <w:rsid w:val="00837088"/>
    <w:rsid w:val="008452E7"/>
    <w:rsid w:val="008467C1"/>
    <w:rsid w:val="00846FF3"/>
    <w:rsid w:val="00851E30"/>
    <w:rsid w:val="0085347A"/>
    <w:rsid w:val="00853C3A"/>
    <w:rsid w:val="008637C4"/>
    <w:rsid w:val="0087016E"/>
    <w:rsid w:val="0087530D"/>
    <w:rsid w:val="00877C3C"/>
    <w:rsid w:val="008803A1"/>
    <w:rsid w:val="00891E9C"/>
    <w:rsid w:val="008943B9"/>
    <w:rsid w:val="00895B33"/>
    <w:rsid w:val="00895E30"/>
    <w:rsid w:val="00896FED"/>
    <w:rsid w:val="00897C1A"/>
    <w:rsid w:val="008A5F80"/>
    <w:rsid w:val="008B049F"/>
    <w:rsid w:val="008B1D85"/>
    <w:rsid w:val="008B4F3A"/>
    <w:rsid w:val="008B7E57"/>
    <w:rsid w:val="008C0BF9"/>
    <w:rsid w:val="008C0DF8"/>
    <w:rsid w:val="008C1DF3"/>
    <w:rsid w:val="008C2F6B"/>
    <w:rsid w:val="008C3E5D"/>
    <w:rsid w:val="008C5B81"/>
    <w:rsid w:val="008C6DBD"/>
    <w:rsid w:val="008D16E1"/>
    <w:rsid w:val="008D3465"/>
    <w:rsid w:val="008D6F4E"/>
    <w:rsid w:val="008E46D9"/>
    <w:rsid w:val="008E6A5A"/>
    <w:rsid w:val="008F2532"/>
    <w:rsid w:val="008F2854"/>
    <w:rsid w:val="008F30B2"/>
    <w:rsid w:val="008F313C"/>
    <w:rsid w:val="008F35C1"/>
    <w:rsid w:val="00901945"/>
    <w:rsid w:val="009044F1"/>
    <w:rsid w:val="009148BC"/>
    <w:rsid w:val="009150AA"/>
    <w:rsid w:val="00917C8A"/>
    <w:rsid w:val="009225C9"/>
    <w:rsid w:val="00926F97"/>
    <w:rsid w:val="00927443"/>
    <w:rsid w:val="00927F84"/>
    <w:rsid w:val="009302AC"/>
    <w:rsid w:val="00931FB8"/>
    <w:rsid w:val="00932F45"/>
    <w:rsid w:val="009357D1"/>
    <w:rsid w:val="00936B8E"/>
    <w:rsid w:val="0094023F"/>
    <w:rsid w:val="00942EB4"/>
    <w:rsid w:val="009463A7"/>
    <w:rsid w:val="00947313"/>
    <w:rsid w:val="00947572"/>
    <w:rsid w:val="0095282B"/>
    <w:rsid w:val="00955232"/>
    <w:rsid w:val="009566E0"/>
    <w:rsid w:val="009569B0"/>
    <w:rsid w:val="00961884"/>
    <w:rsid w:val="00971E09"/>
    <w:rsid w:val="00972036"/>
    <w:rsid w:val="00974C1A"/>
    <w:rsid w:val="00975D39"/>
    <w:rsid w:val="00976C72"/>
    <w:rsid w:val="00982327"/>
    <w:rsid w:val="0098583D"/>
    <w:rsid w:val="00986D63"/>
    <w:rsid w:val="00986E35"/>
    <w:rsid w:val="009A075D"/>
    <w:rsid w:val="009A28E1"/>
    <w:rsid w:val="009A2F79"/>
    <w:rsid w:val="009A4B7E"/>
    <w:rsid w:val="009B4E30"/>
    <w:rsid w:val="009C7F6F"/>
    <w:rsid w:val="009E680D"/>
    <w:rsid w:val="009F1500"/>
    <w:rsid w:val="009F2754"/>
    <w:rsid w:val="009F3C8B"/>
    <w:rsid w:val="00A123D1"/>
    <w:rsid w:val="00A1562A"/>
    <w:rsid w:val="00A2243A"/>
    <w:rsid w:val="00A2540D"/>
    <w:rsid w:val="00A31288"/>
    <w:rsid w:val="00A32E66"/>
    <w:rsid w:val="00A32FBA"/>
    <w:rsid w:val="00A36267"/>
    <w:rsid w:val="00A372AF"/>
    <w:rsid w:val="00A4168D"/>
    <w:rsid w:val="00A44E4C"/>
    <w:rsid w:val="00A50046"/>
    <w:rsid w:val="00A529E0"/>
    <w:rsid w:val="00A52B1F"/>
    <w:rsid w:val="00A52D34"/>
    <w:rsid w:val="00A5332D"/>
    <w:rsid w:val="00A540D3"/>
    <w:rsid w:val="00A54B7A"/>
    <w:rsid w:val="00A55458"/>
    <w:rsid w:val="00A56CDA"/>
    <w:rsid w:val="00A57F0A"/>
    <w:rsid w:val="00A74AAF"/>
    <w:rsid w:val="00A7596F"/>
    <w:rsid w:val="00A8419F"/>
    <w:rsid w:val="00A90F60"/>
    <w:rsid w:val="00A9397F"/>
    <w:rsid w:val="00A9662E"/>
    <w:rsid w:val="00AA0ADA"/>
    <w:rsid w:val="00AA1C25"/>
    <w:rsid w:val="00AA4820"/>
    <w:rsid w:val="00AA5F40"/>
    <w:rsid w:val="00AA6232"/>
    <w:rsid w:val="00AA7D10"/>
    <w:rsid w:val="00AB17C7"/>
    <w:rsid w:val="00AC27EB"/>
    <w:rsid w:val="00AD0E08"/>
    <w:rsid w:val="00AD18C5"/>
    <w:rsid w:val="00AD18DE"/>
    <w:rsid w:val="00AD2B07"/>
    <w:rsid w:val="00AD67CA"/>
    <w:rsid w:val="00AE1E4F"/>
    <w:rsid w:val="00AE448E"/>
    <w:rsid w:val="00AE65E1"/>
    <w:rsid w:val="00AF228F"/>
    <w:rsid w:val="00AF2D23"/>
    <w:rsid w:val="00B01C99"/>
    <w:rsid w:val="00B0699E"/>
    <w:rsid w:val="00B12E6D"/>
    <w:rsid w:val="00B167B3"/>
    <w:rsid w:val="00B16B49"/>
    <w:rsid w:val="00B20C36"/>
    <w:rsid w:val="00B20F5E"/>
    <w:rsid w:val="00B224B3"/>
    <w:rsid w:val="00B273CC"/>
    <w:rsid w:val="00B32967"/>
    <w:rsid w:val="00B344DE"/>
    <w:rsid w:val="00B42E44"/>
    <w:rsid w:val="00B456C0"/>
    <w:rsid w:val="00B4652A"/>
    <w:rsid w:val="00B473D4"/>
    <w:rsid w:val="00B53B82"/>
    <w:rsid w:val="00B55991"/>
    <w:rsid w:val="00B5664B"/>
    <w:rsid w:val="00B575F8"/>
    <w:rsid w:val="00B6277E"/>
    <w:rsid w:val="00B63618"/>
    <w:rsid w:val="00B6733F"/>
    <w:rsid w:val="00B676A7"/>
    <w:rsid w:val="00B70F04"/>
    <w:rsid w:val="00B71822"/>
    <w:rsid w:val="00B71A27"/>
    <w:rsid w:val="00B724A2"/>
    <w:rsid w:val="00B74D83"/>
    <w:rsid w:val="00B77502"/>
    <w:rsid w:val="00B84506"/>
    <w:rsid w:val="00BA1BBA"/>
    <w:rsid w:val="00BA4557"/>
    <w:rsid w:val="00BA4F7C"/>
    <w:rsid w:val="00BA633B"/>
    <w:rsid w:val="00BA760D"/>
    <w:rsid w:val="00BA7662"/>
    <w:rsid w:val="00BB556C"/>
    <w:rsid w:val="00BC1239"/>
    <w:rsid w:val="00BC3F90"/>
    <w:rsid w:val="00BD039F"/>
    <w:rsid w:val="00BD2B42"/>
    <w:rsid w:val="00BD7801"/>
    <w:rsid w:val="00BE6B2C"/>
    <w:rsid w:val="00BE6E5F"/>
    <w:rsid w:val="00BE7A33"/>
    <w:rsid w:val="00BF7D31"/>
    <w:rsid w:val="00C012BE"/>
    <w:rsid w:val="00C172B4"/>
    <w:rsid w:val="00C206C5"/>
    <w:rsid w:val="00C2700F"/>
    <w:rsid w:val="00C34CB8"/>
    <w:rsid w:val="00C356AE"/>
    <w:rsid w:val="00C4766B"/>
    <w:rsid w:val="00C5031B"/>
    <w:rsid w:val="00C51B9E"/>
    <w:rsid w:val="00C54653"/>
    <w:rsid w:val="00C57805"/>
    <w:rsid w:val="00C57AFD"/>
    <w:rsid w:val="00C66003"/>
    <w:rsid w:val="00C678F2"/>
    <w:rsid w:val="00C724DB"/>
    <w:rsid w:val="00C778F7"/>
    <w:rsid w:val="00C81418"/>
    <w:rsid w:val="00C82047"/>
    <w:rsid w:val="00C83606"/>
    <w:rsid w:val="00C83A69"/>
    <w:rsid w:val="00C83D8A"/>
    <w:rsid w:val="00C93331"/>
    <w:rsid w:val="00C94872"/>
    <w:rsid w:val="00CA2738"/>
    <w:rsid w:val="00CA4664"/>
    <w:rsid w:val="00CB0666"/>
    <w:rsid w:val="00CB16ED"/>
    <w:rsid w:val="00CB49BB"/>
    <w:rsid w:val="00CB7E18"/>
    <w:rsid w:val="00CC2A91"/>
    <w:rsid w:val="00CC4FA4"/>
    <w:rsid w:val="00CC5265"/>
    <w:rsid w:val="00CC53D8"/>
    <w:rsid w:val="00CD1282"/>
    <w:rsid w:val="00CD5BA6"/>
    <w:rsid w:val="00CD62BD"/>
    <w:rsid w:val="00CD7864"/>
    <w:rsid w:val="00CE0EDB"/>
    <w:rsid w:val="00CE326A"/>
    <w:rsid w:val="00CE3F08"/>
    <w:rsid w:val="00CE65F6"/>
    <w:rsid w:val="00CE6A3A"/>
    <w:rsid w:val="00CF61A2"/>
    <w:rsid w:val="00CF65C7"/>
    <w:rsid w:val="00CF7C6D"/>
    <w:rsid w:val="00D012C4"/>
    <w:rsid w:val="00D01683"/>
    <w:rsid w:val="00D061EE"/>
    <w:rsid w:val="00D1454C"/>
    <w:rsid w:val="00D1498F"/>
    <w:rsid w:val="00D17BE1"/>
    <w:rsid w:val="00D20A4A"/>
    <w:rsid w:val="00D21D57"/>
    <w:rsid w:val="00D22DF6"/>
    <w:rsid w:val="00D22E54"/>
    <w:rsid w:val="00D25621"/>
    <w:rsid w:val="00D3069B"/>
    <w:rsid w:val="00D31B92"/>
    <w:rsid w:val="00D31BF1"/>
    <w:rsid w:val="00D343FD"/>
    <w:rsid w:val="00D36479"/>
    <w:rsid w:val="00D36DA8"/>
    <w:rsid w:val="00D4021F"/>
    <w:rsid w:val="00D4359A"/>
    <w:rsid w:val="00D45605"/>
    <w:rsid w:val="00D4573E"/>
    <w:rsid w:val="00D50846"/>
    <w:rsid w:val="00D53AC4"/>
    <w:rsid w:val="00D53B98"/>
    <w:rsid w:val="00D53E46"/>
    <w:rsid w:val="00D54775"/>
    <w:rsid w:val="00D60F8E"/>
    <w:rsid w:val="00D664E5"/>
    <w:rsid w:val="00D70AAC"/>
    <w:rsid w:val="00D70E51"/>
    <w:rsid w:val="00D71283"/>
    <w:rsid w:val="00D71900"/>
    <w:rsid w:val="00D720B8"/>
    <w:rsid w:val="00D7235A"/>
    <w:rsid w:val="00D80B61"/>
    <w:rsid w:val="00D816C7"/>
    <w:rsid w:val="00D83FB1"/>
    <w:rsid w:val="00D90C8A"/>
    <w:rsid w:val="00D92CB4"/>
    <w:rsid w:val="00D94A8A"/>
    <w:rsid w:val="00DA078E"/>
    <w:rsid w:val="00DA5A8E"/>
    <w:rsid w:val="00DB4011"/>
    <w:rsid w:val="00DC3CC0"/>
    <w:rsid w:val="00DC4BF6"/>
    <w:rsid w:val="00DD6D77"/>
    <w:rsid w:val="00DE11B1"/>
    <w:rsid w:val="00DE38E1"/>
    <w:rsid w:val="00DF13E6"/>
    <w:rsid w:val="00DF2C77"/>
    <w:rsid w:val="00DF45F8"/>
    <w:rsid w:val="00DF56D5"/>
    <w:rsid w:val="00E04F6B"/>
    <w:rsid w:val="00E05796"/>
    <w:rsid w:val="00E05BD9"/>
    <w:rsid w:val="00E07E81"/>
    <w:rsid w:val="00E1439C"/>
    <w:rsid w:val="00E144E3"/>
    <w:rsid w:val="00E14531"/>
    <w:rsid w:val="00E14E1F"/>
    <w:rsid w:val="00E2366E"/>
    <w:rsid w:val="00E26502"/>
    <w:rsid w:val="00E32339"/>
    <w:rsid w:val="00E45137"/>
    <w:rsid w:val="00E45CCB"/>
    <w:rsid w:val="00E61832"/>
    <w:rsid w:val="00E61936"/>
    <w:rsid w:val="00E645A3"/>
    <w:rsid w:val="00E648B9"/>
    <w:rsid w:val="00E65E0D"/>
    <w:rsid w:val="00E66E2C"/>
    <w:rsid w:val="00E715ED"/>
    <w:rsid w:val="00E7602D"/>
    <w:rsid w:val="00E764CE"/>
    <w:rsid w:val="00E77325"/>
    <w:rsid w:val="00E77569"/>
    <w:rsid w:val="00E77E1F"/>
    <w:rsid w:val="00E8023E"/>
    <w:rsid w:val="00E85DC8"/>
    <w:rsid w:val="00E879AA"/>
    <w:rsid w:val="00E94843"/>
    <w:rsid w:val="00E951E6"/>
    <w:rsid w:val="00E97F93"/>
    <w:rsid w:val="00EA21FC"/>
    <w:rsid w:val="00EA6882"/>
    <w:rsid w:val="00EC3921"/>
    <w:rsid w:val="00EC5750"/>
    <w:rsid w:val="00EC5D32"/>
    <w:rsid w:val="00ED70A8"/>
    <w:rsid w:val="00EE350A"/>
    <w:rsid w:val="00EE5AC3"/>
    <w:rsid w:val="00EE5C1A"/>
    <w:rsid w:val="00EF157E"/>
    <w:rsid w:val="00EF449A"/>
    <w:rsid w:val="00EF4AF4"/>
    <w:rsid w:val="00EF72BC"/>
    <w:rsid w:val="00F034CF"/>
    <w:rsid w:val="00F0683F"/>
    <w:rsid w:val="00F1270B"/>
    <w:rsid w:val="00F12F00"/>
    <w:rsid w:val="00F13E83"/>
    <w:rsid w:val="00F15781"/>
    <w:rsid w:val="00F15E27"/>
    <w:rsid w:val="00F167EE"/>
    <w:rsid w:val="00F23209"/>
    <w:rsid w:val="00F301AB"/>
    <w:rsid w:val="00F34D7D"/>
    <w:rsid w:val="00F4382E"/>
    <w:rsid w:val="00F46F7D"/>
    <w:rsid w:val="00F52168"/>
    <w:rsid w:val="00F52E67"/>
    <w:rsid w:val="00F53207"/>
    <w:rsid w:val="00F534A4"/>
    <w:rsid w:val="00F541FA"/>
    <w:rsid w:val="00F54860"/>
    <w:rsid w:val="00F554A3"/>
    <w:rsid w:val="00F559BA"/>
    <w:rsid w:val="00F57585"/>
    <w:rsid w:val="00F62637"/>
    <w:rsid w:val="00F66C36"/>
    <w:rsid w:val="00F70237"/>
    <w:rsid w:val="00F713AC"/>
    <w:rsid w:val="00F75E63"/>
    <w:rsid w:val="00F7660C"/>
    <w:rsid w:val="00F828E7"/>
    <w:rsid w:val="00F84B29"/>
    <w:rsid w:val="00F8500C"/>
    <w:rsid w:val="00F85E01"/>
    <w:rsid w:val="00F87425"/>
    <w:rsid w:val="00F909EF"/>
    <w:rsid w:val="00F90DD6"/>
    <w:rsid w:val="00F95BFE"/>
    <w:rsid w:val="00FA22A2"/>
    <w:rsid w:val="00FA31FE"/>
    <w:rsid w:val="00FA4548"/>
    <w:rsid w:val="00FA7D41"/>
    <w:rsid w:val="00FB53E3"/>
    <w:rsid w:val="00FB5DAD"/>
    <w:rsid w:val="00FB5E3D"/>
    <w:rsid w:val="00FB6092"/>
    <w:rsid w:val="00FC0F2A"/>
    <w:rsid w:val="00FC1A4A"/>
    <w:rsid w:val="00FC218F"/>
    <w:rsid w:val="00FC3190"/>
    <w:rsid w:val="00FD17B5"/>
    <w:rsid w:val="00FD371C"/>
    <w:rsid w:val="00FD79C8"/>
    <w:rsid w:val="00FE2CBA"/>
    <w:rsid w:val="00FE2F5D"/>
    <w:rsid w:val="00FF0857"/>
    <w:rsid w:val="00FF0E10"/>
    <w:rsid w:val="00FF42DF"/>
    <w:rsid w:val="00FF5A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0283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754"/>
    <w:pPr>
      <w:spacing w:after="120"/>
      <w:jc w:val="both"/>
    </w:pPr>
    <w:rPr>
      <w:rFonts w:asciiTheme="majorHAnsi" w:hAnsiTheme="majorHAnsi"/>
      <w:sz w:val="22"/>
      <w:szCs w:val="24"/>
    </w:rPr>
  </w:style>
  <w:style w:type="paragraph" w:styleId="Heading1">
    <w:name w:val="heading 1"/>
    <w:basedOn w:val="Normal"/>
    <w:next w:val="Normal"/>
    <w:link w:val="Heading1Char"/>
    <w:uiPriority w:val="9"/>
    <w:qFormat/>
    <w:rsid w:val="00FA22A2"/>
    <w:pPr>
      <w:keepNext/>
      <w:keepLines/>
      <w:pageBreakBefore/>
      <w:numPr>
        <w:numId w:val="21"/>
      </w:numPr>
      <w:spacing w:before="480"/>
      <w:outlineLvl w:val="0"/>
    </w:pPr>
    <w:rPr>
      <w:rFonts w:eastAsia="MS Gothic"/>
      <w:b/>
      <w:bCs/>
      <w:sz w:val="32"/>
      <w:szCs w:val="28"/>
    </w:rPr>
  </w:style>
  <w:style w:type="paragraph" w:styleId="Heading2">
    <w:name w:val="heading 2"/>
    <w:basedOn w:val="Normal"/>
    <w:next w:val="Normal"/>
    <w:link w:val="Heading2Char"/>
    <w:uiPriority w:val="9"/>
    <w:unhideWhenUsed/>
    <w:qFormat/>
    <w:rsid w:val="00030620"/>
    <w:pPr>
      <w:keepNext/>
      <w:keepLines/>
      <w:numPr>
        <w:ilvl w:val="1"/>
        <w:numId w:val="3"/>
      </w:numPr>
      <w:spacing w:before="200"/>
      <w:outlineLvl w:val="1"/>
    </w:pPr>
    <w:rPr>
      <w:rFonts w:eastAsia="MS Gothic"/>
      <w:b/>
      <w:bCs/>
      <w:sz w:val="24"/>
      <w:szCs w:val="26"/>
    </w:rPr>
  </w:style>
  <w:style w:type="paragraph" w:styleId="Heading3">
    <w:name w:val="heading 3"/>
    <w:basedOn w:val="Normal"/>
    <w:next w:val="Normal"/>
    <w:link w:val="Heading3Char"/>
    <w:uiPriority w:val="9"/>
    <w:unhideWhenUsed/>
    <w:qFormat/>
    <w:rsid w:val="007C5689"/>
    <w:pPr>
      <w:keepNext/>
      <w:keepLines/>
      <w:spacing w:before="200"/>
      <w:outlineLvl w:val="2"/>
    </w:pPr>
    <w:rPr>
      <w:rFonts w:eastAsia="MS Gothic"/>
      <w:b/>
      <w:bCs/>
    </w:rPr>
  </w:style>
  <w:style w:type="paragraph" w:styleId="Heading4">
    <w:name w:val="heading 4"/>
    <w:basedOn w:val="Normal"/>
    <w:next w:val="Normal"/>
    <w:link w:val="Heading4Char"/>
    <w:uiPriority w:val="9"/>
    <w:unhideWhenUsed/>
    <w:qFormat/>
    <w:rsid w:val="00FA22A2"/>
    <w:pPr>
      <w:keepNext/>
      <w:keepLines/>
      <w:spacing w:before="200"/>
      <w:ind w:left="864" w:hanging="864"/>
      <w:outlineLvl w:val="3"/>
    </w:pPr>
    <w:rPr>
      <w:b/>
      <w:bCs/>
      <w:i/>
      <w:iCs/>
      <w:color w:val="1F497D" w:themeColor="text2"/>
      <w:sz w:val="20"/>
    </w:rPr>
  </w:style>
  <w:style w:type="paragraph" w:styleId="Heading5">
    <w:name w:val="heading 5"/>
    <w:basedOn w:val="Normal"/>
    <w:next w:val="Normal"/>
    <w:link w:val="Heading5Char"/>
    <w:uiPriority w:val="9"/>
    <w:semiHidden/>
    <w:unhideWhenUsed/>
    <w:qFormat/>
    <w:rsid w:val="00E715ED"/>
    <w:pPr>
      <w:keepNext/>
      <w:keepLines/>
      <w:spacing w:before="200"/>
      <w:outlineLvl w:val="4"/>
    </w:pPr>
    <w:rPr>
      <w:rFonts w:ascii="Cambria" w:eastAsia="MS Gothic" w:hAnsi="Cambria"/>
      <w:color w:val="243F60"/>
    </w:rPr>
  </w:style>
  <w:style w:type="paragraph" w:styleId="Heading6">
    <w:name w:val="heading 6"/>
    <w:basedOn w:val="Normal"/>
    <w:next w:val="Normal"/>
    <w:link w:val="Heading6Char"/>
    <w:uiPriority w:val="9"/>
    <w:semiHidden/>
    <w:unhideWhenUsed/>
    <w:qFormat/>
    <w:rsid w:val="001855E0"/>
    <w:pPr>
      <w:keepNext/>
      <w:keepLines/>
      <w:spacing w:before="200"/>
      <w:outlineLvl w:val="5"/>
    </w:pPr>
    <w:rPr>
      <w:rFonts w:ascii="Cambria" w:eastAsia="MS Gothic" w:hAnsi="Cambria"/>
      <w:i/>
      <w:iCs/>
      <w:color w:val="243F60"/>
    </w:rPr>
  </w:style>
  <w:style w:type="paragraph" w:styleId="Heading7">
    <w:name w:val="heading 7"/>
    <w:basedOn w:val="Normal"/>
    <w:next w:val="Normal"/>
    <w:link w:val="Heading7Char"/>
    <w:uiPriority w:val="9"/>
    <w:semiHidden/>
    <w:unhideWhenUsed/>
    <w:qFormat/>
    <w:rsid w:val="00A123D1"/>
    <w:pPr>
      <w:keepNext/>
      <w:keepLines/>
      <w:spacing w:before="200"/>
      <w:ind w:left="1296" w:hanging="1296"/>
      <w:outlineLvl w:val="6"/>
    </w:pPr>
    <w:rPr>
      <w:rFonts w:ascii="Cambria" w:hAnsi="Cambria"/>
      <w:i/>
      <w:iCs/>
      <w:color w:val="404040"/>
      <w:sz w:val="20"/>
    </w:rPr>
  </w:style>
  <w:style w:type="paragraph" w:styleId="Heading8">
    <w:name w:val="heading 8"/>
    <w:basedOn w:val="Normal"/>
    <w:next w:val="Normal"/>
    <w:link w:val="Heading8Char"/>
    <w:uiPriority w:val="9"/>
    <w:semiHidden/>
    <w:unhideWhenUsed/>
    <w:qFormat/>
    <w:rsid w:val="00A123D1"/>
    <w:pPr>
      <w:keepNext/>
      <w:keepLines/>
      <w:spacing w:before="200"/>
      <w:ind w:left="1440" w:hanging="1440"/>
      <w:outlineLvl w:val="7"/>
    </w:pPr>
    <w:rPr>
      <w:rFonts w:ascii="Cambria" w:hAnsi="Cambria"/>
      <w:color w:val="404040"/>
      <w:sz w:val="20"/>
      <w:szCs w:val="20"/>
    </w:rPr>
  </w:style>
  <w:style w:type="paragraph" w:styleId="Heading9">
    <w:name w:val="heading 9"/>
    <w:basedOn w:val="Normal"/>
    <w:next w:val="Normal"/>
    <w:link w:val="Heading9Char"/>
    <w:uiPriority w:val="9"/>
    <w:semiHidden/>
    <w:unhideWhenUsed/>
    <w:qFormat/>
    <w:rsid w:val="00A123D1"/>
    <w:pPr>
      <w:keepNext/>
      <w:keepLines/>
      <w:spacing w:before="200"/>
      <w:ind w:left="1584" w:hanging="1584"/>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A22A2"/>
    <w:rPr>
      <w:rFonts w:ascii="Arial" w:eastAsia="MS Gothic" w:hAnsi="Arial"/>
      <w:b/>
      <w:bCs/>
      <w:sz w:val="32"/>
      <w:szCs w:val="28"/>
    </w:rPr>
  </w:style>
  <w:style w:type="character" w:customStyle="1" w:styleId="Heading2Char">
    <w:name w:val="Heading 2 Char"/>
    <w:link w:val="Heading2"/>
    <w:uiPriority w:val="9"/>
    <w:rsid w:val="00030620"/>
    <w:rPr>
      <w:rFonts w:asciiTheme="majorHAnsi" w:eastAsia="MS Gothic" w:hAnsiTheme="majorHAnsi"/>
      <w:b/>
      <w:bCs/>
      <w:sz w:val="24"/>
      <w:szCs w:val="26"/>
    </w:rPr>
  </w:style>
  <w:style w:type="paragraph" w:styleId="Subtitle">
    <w:name w:val="Subtitle"/>
    <w:basedOn w:val="Normal"/>
    <w:next w:val="Normal"/>
    <w:link w:val="SubtitleChar"/>
    <w:uiPriority w:val="99"/>
    <w:qFormat/>
    <w:rsid w:val="00EF449A"/>
    <w:pPr>
      <w:numPr>
        <w:ilvl w:val="1"/>
      </w:numPr>
    </w:pPr>
    <w:rPr>
      <w:rFonts w:eastAsia="MS Gothic"/>
      <w:b/>
      <w:iCs/>
      <w:spacing w:val="15"/>
      <w:sz w:val="28"/>
    </w:rPr>
  </w:style>
  <w:style w:type="character" w:customStyle="1" w:styleId="SubtitleChar">
    <w:name w:val="Subtitle Char"/>
    <w:link w:val="Subtitle"/>
    <w:uiPriority w:val="99"/>
    <w:rsid w:val="00EF449A"/>
    <w:rPr>
      <w:rFonts w:ascii="Arial" w:eastAsia="MS Gothic" w:hAnsi="Arial" w:cs="Times New Roman"/>
      <w:b/>
      <w:iCs/>
      <w:spacing w:val="15"/>
      <w:sz w:val="28"/>
      <w:szCs w:val="24"/>
    </w:rPr>
  </w:style>
  <w:style w:type="paragraph" w:styleId="ListParagraph">
    <w:name w:val="List Paragraph"/>
    <w:basedOn w:val="Normal"/>
    <w:next w:val="ListBullet"/>
    <w:uiPriority w:val="34"/>
    <w:qFormat/>
    <w:rsid w:val="007A74AE"/>
    <w:pPr>
      <w:ind w:left="720"/>
      <w:contextualSpacing/>
    </w:pPr>
  </w:style>
  <w:style w:type="paragraph" w:styleId="ListBullet">
    <w:name w:val="List Bullet"/>
    <w:basedOn w:val="Normal"/>
    <w:uiPriority w:val="99"/>
    <w:unhideWhenUsed/>
    <w:rsid w:val="007A74AE"/>
    <w:pPr>
      <w:contextualSpacing/>
    </w:pPr>
  </w:style>
  <w:style w:type="character" w:styleId="SubtleEmphasis">
    <w:name w:val="Subtle Emphasis"/>
    <w:aliases w:val="Reference"/>
    <w:uiPriority w:val="19"/>
    <w:qFormat/>
    <w:rsid w:val="00CF61A2"/>
    <w:rPr>
      <w:i/>
      <w:iCs/>
      <w:color w:val="808080"/>
    </w:rPr>
  </w:style>
  <w:style w:type="paragraph" w:styleId="BodyText">
    <w:name w:val="Body Text"/>
    <w:basedOn w:val="Normal"/>
    <w:link w:val="BodyTextChar"/>
    <w:rsid w:val="00335602"/>
    <w:rPr>
      <w:szCs w:val="20"/>
      <w:lang w:val="en-US" w:eastAsia="en-CA"/>
    </w:rPr>
  </w:style>
  <w:style w:type="character" w:customStyle="1" w:styleId="BodyTextChar">
    <w:name w:val="Body Text Char"/>
    <w:link w:val="BodyText"/>
    <w:rsid w:val="00335602"/>
    <w:rPr>
      <w:rFonts w:ascii="Arial" w:hAnsi="Arial" w:cs="Times New Roman"/>
      <w:szCs w:val="20"/>
      <w:lang w:val="en-US" w:eastAsia="en-CA"/>
    </w:rPr>
  </w:style>
  <w:style w:type="character" w:styleId="CommentReference">
    <w:name w:val="annotation reference"/>
    <w:uiPriority w:val="99"/>
    <w:unhideWhenUsed/>
    <w:rsid w:val="00335602"/>
    <w:rPr>
      <w:sz w:val="16"/>
      <w:szCs w:val="16"/>
    </w:rPr>
  </w:style>
  <w:style w:type="paragraph" w:styleId="CommentText">
    <w:name w:val="annotation text"/>
    <w:basedOn w:val="Normal"/>
    <w:link w:val="CommentTextChar"/>
    <w:uiPriority w:val="99"/>
    <w:unhideWhenUsed/>
    <w:rsid w:val="00335602"/>
    <w:rPr>
      <w:rFonts w:ascii="Book Antiqua" w:eastAsia="MS Mincho" w:hAnsi="Book Antiqua"/>
      <w:sz w:val="20"/>
      <w:szCs w:val="20"/>
      <w:lang w:val="en-NZ" w:eastAsia="ja-JP"/>
    </w:rPr>
  </w:style>
  <w:style w:type="character" w:customStyle="1" w:styleId="CommentTextChar">
    <w:name w:val="Comment Text Char"/>
    <w:link w:val="CommentText"/>
    <w:uiPriority w:val="99"/>
    <w:rsid w:val="00335602"/>
    <w:rPr>
      <w:rFonts w:ascii="Book Antiqua" w:eastAsia="MS Mincho" w:hAnsi="Book Antiqua" w:cs="Times New Roman"/>
      <w:sz w:val="20"/>
      <w:szCs w:val="20"/>
      <w:lang w:val="en-NZ" w:eastAsia="ja-JP"/>
    </w:rPr>
  </w:style>
  <w:style w:type="paragraph" w:styleId="BalloonText">
    <w:name w:val="Balloon Text"/>
    <w:basedOn w:val="Normal"/>
    <w:link w:val="BalloonTextChar"/>
    <w:uiPriority w:val="99"/>
    <w:semiHidden/>
    <w:unhideWhenUsed/>
    <w:rsid w:val="00335602"/>
    <w:rPr>
      <w:rFonts w:ascii="Tahoma" w:hAnsi="Tahoma" w:cs="Tahoma"/>
      <w:sz w:val="16"/>
      <w:szCs w:val="16"/>
    </w:rPr>
  </w:style>
  <w:style w:type="character" w:customStyle="1" w:styleId="BalloonTextChar">
    <w:name w:val="Balloon Text Char"/>
    <w:link w:val="BalloonText"/>
    <w:uiPriority w:val="99"/>
    <w:semiHidden/>
    <w:rsid w:val="00335602"/>
    <w:rPr>
      <w:rFonts w:ascii="Tahoma" w:hAnsi="Tahoma" w:cs="Tahoma"/>
      <w:sz w:val="16"/>
      <w:szCs w:val="16"/>
    </w:rPr>
  </w:style>
  <w:style w:type="character" w:customStyle="1" w:styleId="Heading3Char">
    <w:name w:val="Heading 3 Char"/>
    <w:link w:val="Heading3"/>
    <w:uiPriority w:val="9"/>
    <w:rsid w:val="007C5689"/>
    <w:rPr>
      <w:rFonts w:ascii="Arial" w:eastAsia="MS Gothic" w:hAnsi="Arial"/>
      <w:b/>
      <w:bCs/>
      <w:sz w:val="22"/>
      <w:szCs w:val="24"/>
    </w:rPr>
  </w:style>
  <w:style w:type="table" w:styleId="TableGrid">
    <w:name w:val="Table Grid"/>
    <w:basedOn w:val="TableNormal"/>
    <w:uiPriority w:val="39"/>
    <w:rsid w:val="00161C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66C36"/>
    <w:pPr>
      <w:autoSpaceDE w:val="0"/>
      <w:autoSpaceDN w:val="0"/>
      <w:adjustRightInd w:val="0"/>
    </w:pPr>
    <w:rPr>
      <w:rFonts w:ascii="Arial" w:eastAsia="Calibri" w:hAnsi="Arial" w:cs="Arial"/>
      <w:color w:val="000000"/>
      <w:sz w:val="24"/>
      <w:szCs w:val="24"/>
    </w:rPr>
  </w:style>
  <w:style w:type="character" w:customStyle="1" w:styleId="Heading6Char">
    <w:name w:val="Heading 6 Char"/>
    <w:link w:val="Heading6"/>
    <w:uiPriority w:val="9"/>
    <w:semiHidden/>
    <w:rsid w:val="001855E0"/>
    <w:rPr>
      <w:rFonts w:ascii="Cambria" w:eastAsia="MS Gothic" w:hAnsi="Cambria" w:cs="Times New Roman"/>
      <w:i/>
      <w:iCs/>
      <w:color w:val="243F60"/>
      <w:szCs w:val="24"/>
    </w:rPr>
  </w:style>
  <w:style w:type="character" w:styleId="Emphasis">
    <w:name w:val="Emphasis"/>
    <w:aliases w:val="TABLE heading"/>
    <w:uiPriority w:val="20"/>
    <w:qFormat/>
    <w:rsid w:val="007F0C67"/>
    <w:rPr>
      <w:rFonts w:ascii="Arial" w:hAnsi="Arial"/>
      <w:iCs/>
      <w:sz w:val="20"/>
    </w:rPr>
  </w:style>
  <w:style w:type="paragraph" w:styleId="Header">
    <w:name w:val="header"/>
    <w:basedOn w:val="Normal"/>
    <w:link w:val="HeaderChar"/>
    <w:uiPriority w:val="99"/>
    <w:unhideWhenUsed/>
    <w:rsid w:val="001855E0"/>
    <w:pPr>
      <w:tabs>
        <w:tab w:val="center" w:pos="4513"/>
        <w:tab w:val="right" w:pos="9026"/>
      </w:tabs>
    </w:pPr>
  </w:style>
  <w:style w:type="character" w:customStyle="1" w:styleId="HeaderChar">
    <w:name w:val="Header Char"/>
    <w:link w:val="Header"/>
    <w:uiPriority w:val="99"/>
    <w:rsid w:val="001855E0"/>
    <w:rPr>
      <w:rFonts w:cs="Times New Roman"/>
      <w:szCs w:val="24"/>
    </w:rPr>
  </w:style>
  <w:style w:type="paragraph" w:styleId="Footer">
    <w:name w:val="footer"/>
    <w:basedOn w:val="Normal"/>
    <w:link w:val="FooterChar"/>
    <w:uiPriority w:val="99"/>
    <w:unhideWhenUsed/>
    <w:rsid w:val="001855E0"/>
    <w:pPr>
      <w:tabs>
        <w:tab w:val="center" w:pos="4513"/>
        <w:tab w:val="right" w:pos="9026"/>
      </w:tabs>
    </w:pPr>
  </w:style>
  <w:style w:type="character" w:customStyle="1" w:styleId="FooterChar">
    <w:name w:val="Footer Char"/>
    <w:link w:val="Footer"/>
    <w:uiPriority w:val="99"/>
    <w:rsid w:val="001855E0"/>
    <w:rPr>
      <w:rFonts w:cs="Times New Roman"/>
      <w:szCs w:val="24"/>
    </w:rPr>
  </w:style>
  <w:style w:type="character" w:customStyle="1" w:styleId="Heading5Char">
    <w:name w:val="Heading 5 Char"/>
    <w:link w:val="Heading5"/>
    <w:uiPriority w:val="9"/>
    <w:semiHidden/>
    <w:rsid w:val="00E715ED"/>
    <w:rPr>
      <w:rFonts w:ascii="Cambria" w:eastAsia="MS Gothic" w:hAnsi="Cambria" w:cs="Times New Roman"/>
      <w:color w:val="243F60"/>
      <w:szCs w:val="24"/>
    </w:rPr>
  </w:style>
  <w:style w:type="paragraph" w:styleId="TOCHeading">
    <w:name w:val="TOC Heading"/>
    <w:basedOn w:val="Heading1"/>
    <w:next w:val="Normal"/>
    <w:uiPriority w:val="39"/>
    <w:semiHidden/>
    <w:unhideWhenUsed/>
    <w:qFormat/>
    <w:rsid w:val="00F95BFE"/>
    <w:pPr>
      <w:numPr>
        <w:numId w:val="0"/>
      </w:numPr>
      <w:spacing w:line="276" w:lineRule="auto"/>
      <w:outlineLvl w:val="9"/>
    </w:pPr>
    <w:rPr>
      <w:lang w:val="en-US"/>
    </w:rPr>
  </w:style>
  <w:style w:type="paragraph" w:styleId="TOC1">
    <w:name w:val="toc 1"/>
    <w:basedOn w:val="Normal"/>
    <w:next w:val="Normal"/>
    <w:autoRedefine/>
    <w:uiPriority w:val="39"/>
    <w:unhideWhenUsed/>
    <w:rsid w:val="00F95BFE"/>
    <w:pPr>
      <w:spacing w:after="100"/>
    </w:pPr>
  </w:style>
  <w:style w:type="paragraph" w:styleId="TOC2">
    <w:name w:val="toc 2"/>
    <w:basedOn w:val="Normal"/>
    <w:next w:val="Normal"/>
    <w:autoRedefine/>
    <w:uiPriority w:val="39"/>
    <w:unhideWhenUsed/>
    <w:rsid w:val="00F95BFE"/>
    <w:pPr>
      <w:spacing w:after="100"/>
      <w:ind w:left="220"/>
    </w:pPr>
  </w:style>
  <w:style w:type="character" w:styleId="Hyperlink">
    <w:name w:val="Hyperlink"/>
    <w:uiPriority w:val="99"/>
    <w:unhideWhenUsed/>
    <w:rsid w:val="00F95BFE"/>
    <w:rPr>
      <w:color w:val="0000FF"/>
      <w:u w:val="single"/>
    </w:rPr>
  </w:style>
  <w:style w:type="paragraph" w:styleId="NormalWeb">
    <w:name w:val="Normal (Web)"/>
    <w:basedOn w:val="Normal"/>
    <w:uiPriority w:val="99"/>
    <w:unhideWhenUsed/>
    <w:rsid w:val="004B33D3"/>
    <w:pPr>
      <w:spacing w:before="100" w:beforeAutospacing="1" w:after="100" w:afterAutospacing="1"/>
    </w:pPr>
    <w:rPr>
      <w:rFonts w:ascii="Times New Roman" w:eastAsia="MS Mincho" w:hAnsi="Times New Roman"/>
      <w:sz w:val="24"/>
      <w:lang w:val="en-CA" w:eastAsia="en-CA"/>
    </w:rPr>
  </w:style>
  <w:style w:type="paragraph" w:customStyle="1" w:styleId="BankNormal">
    <w:name w:val="BankNormal"/>
    <w:basedOn w:val="Normal"/>
    <w:uiPriority w:val="99"/>
    <w:rsid w:val="004B33D3"/>
    <w:pPr>
      <w:spacing w:after="240"/>
      <w:ind w:left="1134" w:hanging="1134"/>
    </w:pPr>
    <w:rPr>
      <w:szCs w:val="20"/>
      <w:lang w:eastAsia="en-CA"/>
    </w:rPr>
  </w:style>
  <w:style w:type="character" w:styleId="Strong">
    <w:name w:val="Strong"/>
    <w:uiPriority w:val="22"/>
    <w:qFormat/>
    <w:rsid w:val="00D664E5"/>
    <w:rPr>
      <w:bCs/>
      <w:color w:val="808080"/>
      <w:sz w:val="22"/>
    </w:rPr>
  </w:style>
  <w:style w:type="paragraph" w:styleId="TOC3">
    <w:name w:val="toc 3"/>
    <w:basedOn w:val="Normal"/>
    <w:next w:val="Normal"/>
    <w:autoRedefine/>
    <w:uiPriority w:val="39"/>
    <w:unhideWhenUsed/>
    <w:rsid w:val="00D664E5"/>
    <w:pPr>
      <w:spacing w:after="100"/>
      <w:ind w:left="440"/>
    </w:pPr>
  </w:style>
  <w:style w:type="paragraph" w:customStyle="1" w:styleId="Tableheader">
    <w:name w:val="Table header"/>
    <w:basedOn w:val="Normal"/>
    <w:qFormat/>
    <w:rsid w:val="007F0C67"/>
    <w:rPr>
      <w:b/>
      <w:sz w:val="20"/>
    </w:rPr>
  </w:style>
  <w:style w:type="paragraph" w:customStyle="1" w:styleId="Tabletext">
    <w:name w:val="Table text"/>
    <w:basedOn w:val="Normal"/>
    <w:qFormat/>
    <w:rsid w:val="001B44D9"/>
    <w:rPr>
      <w:sz w:val="20"/>
      <w:szCs w:val="22"/>
    </w:rPr>
  </w:style>
  <w:style w:type="paragraph" w:customStyle="1" w:styleId="Tabletitle">
    <w:name w:val="Table title"/>
    <w:basedOn w:val="Tableheader"/>
    <w:qFormat/>
    <w:rsid w:val="007F0C67"/>
  </w:style>
  <w:style w:type="character" w:customStyle="1" w:styleId="Heading4Char">
    <w:name w:val="Heading 4 Char"/>
    <w:link w:val="Heading4"/>
    <w:uiPriority w:val="9"/>
    <w:rsid w:val="00FA22A2"/>
    <w:rPr>
      <w:rFonts w:ascii="Arial" w:hAnsi="Arial"/>
      <w:b/>
      <w:bCs/>
      <w:i/>
      <w:iCs/>
      <w:color w:val="1F497D" w:themeColor="text2"/>
      <w:szCs w:val="24"/>
    </w:rPr>
  </w:style>
  <w:style w:type="character" w:customStyle="1" w:styleId="Heading7Char">
    <w:name w:val="Heading 7 Char"/>
    <w:link w:val="Heading7"/>
    <w:uiPriority w:val="9"/>
    <w:semiHidden/>
    <w:rsid w:val="00A123D1"/>
    <w:rPr>
      <w:rFonts w:ascii="Cambria" w:hAnsi="Cambria" w:cs="Times New Roman"/>
      <w:i/>
      <w:iCs/>
      <w:color w:val="404040"/>
      <w:sz w:val="20"/>
      <w:szCs w:val="24"/>
    </w:rPr>
  </w:style>
  <w:style w:type="character" w:customStyle="1" w:styleId="Heading8Char">
    <w:name w:val="Heading 8 Char"/>
    <w:link w:val="Heading8"/>
    <w:uiPriority w:val="9"/>
    <w:semiHidden/>
    <w:rsid w:val="00A123D1"/>
    <w:rPr>
      <w:rFonts w:ascii="Cambria" w:hAnsi="Cambria" w:cs="Times New Roman"/>
      <w:color w:val="404040"/>
      <w:sz w:val="20"/>
      <w:szCs w:val="20"/>
    </w:rPr>
  </w:style>
  <w:style w:type="character" w:customStyle="1" w:styleId="Heading9Char">
    <w:name w:val="Heading 9 Char"/>
    <w:link w:val="Heading9"/>
    <w:uiPriority w:val="9"/>
    <w:semiHidden/>
    <w:rsid w:val="00A123D1"/>
    <w:rPr>
      <w:rFonts w:ascii="Cambria" w:hAnsi="Cambria" w:cs="Times New Roman"/>
      <w:i/>
      <w:iCs/>
      <w:color w:val="404040"/>
      <w:sz w:val="20"/>
      <w:szCs w:val="20"/>
    </w:rPr>
  </w:style>
  <w:style w:type="paragraph" w:customStyle="1" w:styleId="ChapterNumber">
    <w:name w:val="ChapterNumber"/>
    <w:basedOn w:val="Normal"/>
    <w:next w:val="Normal"/>
    <w:rsid w:val="00A123D1"/>
    <w:pPr>
      <w:spacing w:after="360"/>
    </w:pPr>
    <w:rPr>
      <w:sz w:val="20"/>
      <w:szCs w:val="20"/>
    </w:rPr>
  </w:style>
  <w:style w:type="paragraph" w:styleId="BodyText2">
    <w:name w:val="Body Text 2"/>
    <w:basedOn w:val="Normal"/>
    <w:link w:val="BodyText2Char"/>
    <w:rsid w:val="00A123D1"/>
    <w:rPr>
      <w:rFonts w:ascii="Gill Sans" w:hAnsi="Gill Sans"/>
      <w:b/>
      <w:sz w:val="20"/>
    </w:rPr>
  </w:style>
  <w:style w:type="character" w:customStyle="1" w:styleId="BodyText2Char">
    <w:name w:val="Body Text 2 Char"/>
    <w:link w:val="BodyText2"/>
    <w:rsid w:val="00A123D1"/>
    <w:rPr>
      <w:rFonts w:ascii="Gill Sans" w:hAnsi="Gill Sans" w:cs="Times New Roman"/>
      <w:b/>
      <w:sz w:val="20"/>
      <w:szCs w:val="24"/>
    </w:rPr>
  </w:style>
  <w:style w:type="character" w:styleId="PageNumber">
    <w:name w:val="page number"/>
    <w:basedOn w:val="DefaultParagraphFont"/>
    <w:rsid w:val="00A123D1"/>
  </w:style>
  <w:style w:type="character" w:customStyle="1" w:styleId="CommentSubjectChar">
    <w:name w:val="Comment Subject Char"/>
    <w:link w:val="CommentSubject"/>
    <w:uiPriority w:val="99"/>
    <w:semiHidden/>
    <w:rsid w:val="00A123D1"/>
    <w:rPr>
      <w:rFonts w:ascii="Arial" w:eastAsia="MS Mincho" w:hAnsi="Arial" w:cs="Times New Roman"/>
      <w:b/>
      <w:bCs/>
      <w:sz w:val="20"/>
      <w:szCs w:val="20"/>
      <w:lang w:val="en-NZ" w:eastAsia="ja-JP"/>
    </w:rPr>
  </w:style>
  <w:style w:type="paragraph" w:styleId="CommentSubject">
    <w:name w:val="annotation subject"/>
    <w:basedOn w:val="CommentText"/>
    <w:next w:val="CommentText"/>
    <w:link w:val="CommentSubjectChar"/>
    <w:uiPriority w:val="99"/>
    <w:semiHidden/>
    <w:unhideWhenUsed/>
    <w:rsid w:val="00A123D1"/>
    <w:rPr>
      <w:rFonts w:ascii="Arial" w:hAnsi="Arial"/>
      <w:b/>
      <w:bCs/>
    </w:rPr>
  </w:style>
  <w:style w:type="character" w:customStyle="1" w:styleId="CommentSubjectChar1">
    <w:name w:val="Comment Subject Char1"/>
    <w:uiPriority w:val="99"/>
    <w:semiHidden/>
    <w:rsid w:val="00A123D1"/>
    <w:rPr>
      <w:rFonts w:ascii="Arial" w:eastAsia="MS Mincho" w:hAnsi="Arial" w:cs="Times New Roman"/>
      <w:b/>
      <w:bCs/>
      <w:sz w:val="20"/>
      <w:szCs w:val="20"/>
      <w:lang w:val="en-NZ" w:eastAsia="ja-JP"/>
    </w:rPr>
  </w:style>
  <w:style w:type="paragraph" w:styleId="Title">
    <w:name w:val="Title"/>
    <w:aliases w:val="Title 1"/>
    <w:basedOn w:val="Normal"/>
    <w:next w:val="Normal"/>
    <w:link w:val="TitleChar"/>
    <w:uiPriority w:val="10"/>
    <w:qFormat/>
    <w:rsid w:val="00A123D1"/>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aliases w:val="Title 1 Char"/>
    <w:link w:val="Title"/>
    <w:uiPriority w:val="10"/>
    <w:rsid w:val="00A123D1"/>
    <w:rPr>
      <w:rFonts w:ascii="Cambria" w:hAnsi="Cambria" w:cs="Times New Roman"/>
      <w:color w:val="17365D"/>
      <w:spacing w:val="5"/>
      <w:kern w:val="28"/>
      <w:sz w:val="52"/>
      <w:szCs w:val="52"/>
    </w:rPr>
  </w:style>
  <w:style w:type="character" w:styleId="FootnoteReference">
    <w:name w:val="footnote reference"/>
    <w:rsid w:val="00A123D1"/>
    <w:rPr>
      <w:vertAlign w:val="superscript"/>
    </w:rPr>
  </w:style>
  <w:style w:type="paragraph" w:styleId="FootnoteText">
    <w:name w:val="footnote text"/>
    <w:aliases w:val="BRS FOOTNOTE TEXT"/>
    <w:basedOn w:val="Normal"/>
    <w:link w:val="FootnoteTextChar"/>
    <w:unhideWhenUsed/>
    <w:rsid w:val="00932F45"/>
    <w:pPr>
      <w:tabs>
        <w:tab w:val="left" w:pos="360"/>
      </w:tabs>
      <w:ind w:left="142" w:hanging="142"/>
    </w:pPr>
    <w:rPr>
      <w:rFonts w:eastAsia="MS Mincho"/>
      <w:sz w:val="20"/>
      <w:szCs w:val="20"/>
      <w:lang w:eastAsia="ja-JP"/>
    </w:rPr>
  </w:style>
  <w:style w:type="character" w:customStyle="1" w:styleId="FootnoteTextChar">
    <w:name w:val="Footnote Text Char"/>
    <w:aliases w:val="BRS FOOTNOTE TEXT Char"/>
    <w:link w:val="FootnoteText"/>
    <w:rsid w:val="00932F45"/>
    <w:rPr>
      <w:rFonts w:asciiTheme="majorHAnsi" w:eastAsia="MS Mincho" w:hAnsiTheme="majorHAnsi"/>
      <w:lang w:eastAsia="ja-JP"/>
    </w:rPr>
  </w:style>
  <w:style w:type="character" w:customStyle="1" w:styleId="Downloads-titleChar">
    <w:name w:val="Downloads - title Char"/>
    <w:link w:val="Downloads-title"/>
    <w:locked/>
    <w:rsid w:val="00A123D1"/>
    <w:rPr>
      <w:rFonts w:ascii="Book Antiqua" w:hAnsi="Book Antiqua"/>
      <w:b/>
      <w:bCs/>
    </w:rPr>
  </w:style>
  <w:style w:type="paragraph" w:customStyle="1" w:styleId="Downloads-title">
    <w:name w:val="Downloads - title"/>
    <w:basedOn w:val="Normal"/>
    <w:link w:val="Downloads-titleChar"/>
    <w:qFormat/>
    <w:rsid w:val="00A123D1"/>
    <w:pPr>
      <w:spacing w:before="120" w:line="320" w:lineRule="exact"/>
    </w:pPr>
    <w:rPr>
      <w:rFonts w:ascii="Book Antiqua" w:hAnsi="Book Antiqua"/>
      <w:b/>
      <w:bCs/>
      <w:szCs w:val="22"/>
    </w:rPr>
  </w:style>
  <w:style w:type="paragraph" w:customStyle="1" w:styleId="MSCTemplate">
    <w:name w:val="MSC Template"/>
    <w:basedOn w:val="ListBullet"/>
    <w:qFormat/>
    <w:rsid w:val="00A123D1"/>
    <w:pPr>
      <w:numPr>
        <w:numId w:val="1"/>
      </w:numPr>
    </w:pPr>
    <w:rPr>
      <w:rFonts w:ascii="Calibri" w:hAnsi="Calibri"/>
    </w:rPr>
  </w:style>
  <w:style w:type="paragraph" w:customStyle="1" w:styleId="SDRTracing">
    <w:name w:val="SDR Tracing"/>
    <w:basedOn w:val="Normal"/>
    <w:next w:val="BodyText"/>
    <w:link w:val="SDRTracingChar"/>
    <w:qFormat/>
    <w:rsid w:val="00A123D1"/>
    <w:pPr>
      <w:numPr>
        <w:numId w:val="2"/>
      </w:numPr>
      <w:tabs>
        <w:tab w:val="clear" w:pos="360"/>
      </w:tabs>
      <w:spacing w:after="180"/>
      <w:ind w:left="1134" w:hanging="1134"/>
    </w:pPr>
    <w:rPr>
      <w:rFonts w:eastAsia="Calibri"/>
      <w:b/>
      <w:i/>
      <w:color w:val="FF0000"/>
      <w:kern w:val="2"/>
      <w:szCs w:val="22"/>
      <w:lang w:val="en-US" w:eastAsia="zh-CN"/>
    </w:rPr>
  </w:style>
  <w:style w:type="character" w:customStyle="1" w:styleId="SDRTracingChar">
    <w:name w:val="SDR Tracing Char"/>
    <w:link w:val="SDRTracing"/>
    <w:rsid w:val="00A123D1"/>
    <w:rPr>
      <w:rFonts w:asciiTheme="majorHAnsi" w:eastAsia="Calibri" w:hAnsiTheme="majorHAnsi"/>
      <w:b/>
      <w:i/>
      <w:color w:val="FF0000"/>
      <w:kern w:val="2"/>
      <w:sz w:val="22"/>
      <w:szCs w:val="22"/>
      <w:lang w:val="en-US" w:eastAsia="zh-CN"/>
    </w:rPr>
  </w:style>
  <w:style w:type="paragraph" w:styleId="TOC4">
    <w:name w:val="toc 4"/>
    <w:basedOn w:val="Normal"/>
    <w:next w:val="Normal"/>
    <w:autoRedefine/>
    <w:uiPriority w:val="39"/>
    <w:unhideWhenUsed/>
    <w:rsid w:val="00D71900"/>
    <w:pPr>
      <w:ind w:left="660"/>
    </w:pPr>
  </w:style>
  <w:style w:type="paragraph" w:styleId="TOC5">
    <w:name w:val="toc 5"/>
    <w:basedOn w:val="Normal"/>
    <w:next w:val="Normal"/>
    <w:autoRedefine/>
    <w:uiPriority w:val="39"/>
    <w:unhideWhenUsed/>
    <w:rsid w:val="00D71900"/>
    <w:pPr>
      <w:ind w:left="880"/>
    </w:pPr>
  </w:style>
  <w:style w:type="paragraph" w:styleId="TOC6">
    <w:name w:val="toc 6"/>
    <w:basedOn w:val="Normal"/>
    <w:next w:val="Normal"/>
    <w:autoRedefine/>
    <w:uiPriority w:val="39"/>
    <w:unhideWhenUsed/>
    <w:rsid w:val="00D71900"/>
    <w:pPr>
      <w:ind w:left="1100"/>
    </w:pPr>
  </w:style>
  <w:style w:type="paragraph" w:styleId="TOC7">
    <w:name w:val="toc 7"/>
    <w:basedOn w:val="Normal"/>
    <w:next w:val="Normal"/>
    <w:autoRedefine/>
    <w:uiPriority w:val="39"/>
    <w:unhideWhenUsed/>
    <w:rsid w:val="00D71900"/>
    <w:pPr>
      <w:ind w:left="1320"/>
    </w:pPr>
  </w:style>
  <w:style w:type="paragraph" w:styleId="TOC8">
    <w:name w:val="toc 8"/>
    <w:basedOn w:val="Normal"/>
    <w:next w:val="Normal"/>
    <w:autoRedefine/>
    <w:uiPriority w:val="39"/>
    <w:unhideWhenUsed/>
    <w:rsid w:val="00D71900"/>
    <w:pPr>
      <w:ind w:left="1540"/>
    </w:pPr>
  </w:style>
  <w:style w:type="paragraph" w:styleId="TOC9">
    <w:name w:val="toc 9"/>
    <w:basedOn w:val="Normal"/>
    <w:next w:val="Normal"/>
    <w:autoRedefine/>
    <w:uiPriority w:val="39"/>
    <w:unhideWhenUsed/>
    <w:rsid w:val="00D71900"/>
    <w:pPr>
      <w:ind w:left="1760"/>
    </w:pPr>
  </w:style>
  <w:style w:type="paragraph" w:styleId="Caption">
    <w:name w:val="caption"/>
    <w:basedOn w:val="Normal"/>
    <w:next w:val="Normal"/>
    <w:uiPriority w:val="35"/>
    <w:unhideWhenUsed/>
    <w:qFormat/>
    <w:rsid w:val="0047287B"/>
    <w:pPr>
      <w:spacing w:before="120"/>
    </w:pPr>
    <w:rPr>
      <w:b/>
      <w:bCs/>
      <w:color w:val="4F81BD" w:themeColor="accent1"/>
      <w:sz w:val="18"/>
      <w:szCs w:val="18"/>
    </w:rPr>
  </w:style>
  <w:style w:type="paragraph" w:styleId="NoSpacing">
    <w:name w:val="No Spacing"/>
    <w:aliases w:val="Text"/>
    <w:basedOn w:val="Default"/>
    <w:uiPriority w:val="1"/>
    <w:qFormat/>
    <w:rsid w:val="00D50846"/>
    <w:pPr>
      <w:jc w:val="both"/>
    </w:pPr>
    <w:rPr>
      <w:rFonts w:ascii="Calibri" w:eastAsiaTheme="minorHAnsi" w:hAnsi="Calibri"/>
      <w:sz w:val="22"/>
      <w:lang w:val="fr-FR"/>
    </w:rPr>
  </w:style>
  <w:style w:type="character" w:styleId="FollowedHyperlink">
    <w:name w:val="FollowedHyperlink"/>
    <w:basedOn w:val="DefaultParagraphFont"/>
    <w:uiPriority w:val="99"/>
    <w:semiHidden/>
    <w:unhideWhenUsed/>
    <w:rsid w:val="00D061EE"/>
    <w:rPr>
      <w:color w:val="800080" w:themeColor="followedHyperlink"/>
      <w:u w:val="single"/>
    </w:rPr>
  </w:style>
  <w:style w:type="paragraph" w:styleId="Revision">
    <w:name w:val="Revision"/>
    <w:hidden/>
    <w:uiPriority w:val="71"/>
    <w:rsid w:val="00AA4820"/>
    <w:rPr>
      <w:rFonts w:asciiTheme="majorHAnsi" w:hAnsiTheme="majorHAnsi"/>
      <w:sz w:val="22"/>
      <w:szCs w:val="24"/>
    </w:rPr>
  </w:style>
  <w:style w:type="paragraph" w:customStyle="1" w:styleId="Non-indexedHeading">
    <w:name w:val="Non-indexed Heading"/>
    <w:basedOn w:val="Heading1"/>
    <w:link w:val="Non-indexedHeadingChar"/>
    <w:qFormat/>
    <w:rsid w:val="0094023F"/>
    <w:pPr>
      <w:numPr>
        <w:numId w:val="0"/>
      </w:numPr>
      <w:ind w:left="720" w:hanging="360"/>
    </w:pPr>
  </w:style>
  <w:style w:type="character" w:customStyle="1" w:styleId="Non-indexedHeadingChar">
    <w:name w:val="Non-indexed Heading Char"/>
    <w:basedOn w:val="Heading1Char"/>
    <w:link w:val="Non-indexedHeading"/>
    <w:rsid w:val="0094023F"/>
    <w:rPr>
      <w:rFonts w:asciiTheme="majorHAnsi" w:eastAsia="MS Gothic" w:hAnsiTheme="majorHAnsi"/>
      <w:b/>
      <w:bCs/>
      <w:sz w:val="32"/>
      <w:szCs w:val="28"/>
    </w:rPr>
  </w:style>
  <w:style w:type="character" w:customStyle="1" w:styleId="A5">
    <w:name w:val="A5"/>
    <w:uiPriority w:val="99"/>
    <w:rsid w:val="00AD18DE"/>
    <w:rPr>
      <w:rFonts w:cs="Meta Offc Pro"/>
      <w:color w:val="211D1E"/>
      <w:sz w:val="20"/>
      <w:szCs w:val="20"/>
    </w:rPr>
  </w:style>
  <w:style w:type="character" w:customStyle="1" w:styleId="st">
    <w:name w:val="st"/>
    <w:basedOn w:val="DefaultParagraphFont"/>
    <w:rsid w:val="00C2700F"/>
  </w:style>
  <w:style w:type="character" w:customStyle="1" w:styleId="tgc">
    <w:name w:val="_tgc"/>
    <w:basedOn w:val="DefaultParagraphFont"/>
    <w:rsid w:val="00F909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754"/>
    <w:pPr>
      <w:spacing w:after="120"/>
      <w:jc w:val="both"/>
    </w:pPr>
    <w:rPr>
      <w:rFonts w:asciiTheme="majorHAnsi" w:hAnsiTheme="majorHAnsi"/>
      <w:sz w:val="22"/>
      <w:szCs w:val="24"/>
    </w:rPr>
  </w:style>
  <w:style w:type="paragraph" w:styleId="Heading1">
    <w:name w:val="heading 1"/>
    <w:basedOn w:val="Normal"/>
    <w:next w:val="Normal"/>
    <w:link w:val="Heading1Char"/>
    <w:uiPriority w:val="9"/>
    <w:qFormat/>
    <w:rsid w:val="00FA22A2"/>
    <w:pPr>
      <w:keepNext/>
      <w:keepLines/>
      <w:pageBreakBefore/>
      <w:numPr>
        <w:numId w:val="21"/>
      </w:numPr>
      <w:spacing w:before="480"/>
      <w:outlineLvl w:val="0"/>
    </w:pPr>
    <w:rPr>
      <w:rFonts w:eastAsia="MS Gothic"/>
      <w:b/>
      <w:bCs/>
      <w:sz w:val="32"/>
      <w:szCs w:val="28"/>
    </w:rPr>
  </w:style>
  <w:style w:type="paragraph" w:styleId="Heading2">
    <w:name w:val="heading 2"/>
    <w:basedOn w:val="Normal"/>
    <w:next w:val="Normal"/>
    <w:link w:val="Heading2Char"/>
    <w:uiPriority w:val="9"/>
    <w:unhideWhenUsed/>
    <w:qFormat/>
    <w:rsid w:val="00030620"/>
    <w:pPr>
      <w:keepNext/>
      <w:keepLines/>
      <w:numPr>
        <w:ilvl w:val="1"/>
        <w:numId w:val="3"/>
      </w:numPr>
      <w:spacing w:before="200"/>
      <w:outlineLvl w:val="1"/>
    </w:pPr>
    <w:rPr>
      <w:rFonts w:eastAsia="MS Gothic"/>
      <w:b/>
      <w:bCs/>
      <w:sz w:val="24"/>
      <w:szCs w:val="26"/>
    </w:rPr>
  </w:style>
  <w:style w:type="paragraph" w:styleId="Heading3">
    <w:name w:val="heading 3"/>
    <w:basedOn w:val="Normal"/>
    <w:next w:val="Normal"/>
    <w:link w:val="Heading3Char"/>
    <w:uiPriority w:val="9"/>
    <w:unhideWhenUsed/>
    <w:qFormat/>
    <w:rsid w:val="007C5689"/>
    <w:pPr>
      <w:keepNext/>
      <w:keepLines/>
      <w:spacing w:before="200"/>
      <w:outlineLvl w:val="2"/>
    </w:pPr>
    <w:rPr>
      <w:rFonts w:eastAsia="MS Gothic"/>
      <w:b/>
      <w:bCs/>
    </w:rPr>
  </w:style>
  <w:style w:type="paragraph" w:styleId="Heading4">
    <w:name w:val="heading 4"/>
    <w:basedOn w:val="Normal"/>
    <w:next w:val="Normal"/>
    <w:link w:val="Heading4Char"/>
    <w:uiPriority w:val="9"/>
    <w:unhideWhenUsed/>
    <w:qFormat/>
    <w:rsid w:val="00FA22A2"/>
    <w:pPr>
      <w:keepNext/>
      <w:keepLines/>
      <w:spacing w:before="200"/>
      <w:ind w:left="864" w:hanging="864"/>
      <w:outlineLvl w:val="3"/>
    </w:pPr>
    <w:rPr>
      <w:b/>
      <w:bCs/>
      <w:i/>
      <w:iCs/>
      <w:color w:val="1F497D" w:themeColor="text2"/>
      <w:sz w:val="20"/>
    </w:rPr>
  </w:style>
  <w:style w:type="paragraph" w:styleId="Heading5">
    <w:name w:val="heading 5"/>
    <w:basedOn w:val="Normal"/>
    <w:next w:val="Normal"/>
    <w:link w:val="Heading5Char"/>
    <w:uiPriority w:val="9"/>
    <w:semiHidden/>
    <w:unhideWhenUsed/>
    <w:qFormat/>
    <w:rsid w:val="00E715ED"/>
    <w:pPr>
      <w:keepNext/>
      <w:keepLines/>
      <w:spacing w:before="200"/>
      <w:outlineLvl w:val="4"/>
    </w:pPr>
    <w:rPr>
      <w:rFonts w:ascii="Cambria" w:eastAsia="MS Gothic" w:hAnsi="Cambria"/>
      <w:color w:val="243F60"/>
    </w:rPr>
  </w:style>
  <w:style w:type="paragraph" w:styleId="Heading6">
    <w:name w:val="heading 6"/>
    <w:basedOn w:val="Normal"/>
    <w:next w:val="Normal"/>
    <w:link w:val="Heading6Char"/>
    <w:uiPriority w:val="9"/>
    <w:semiHidden/>
    <w:unhideWhenUsed/>
    <w:qFormat/>
    <w:rsid w:val="001855E0"/>
    <w:pPr>
      <w:keepNext/>
      <w:keepLines/>
      <w:spacing w:before="200"/>
      <w:outlineLvl w:val="5"/>
    </w:pPr>
    <w:rPr>
      <w:rFonts w:ascii="Cambria" w:eastAsia="MS Gothic" w:hAnsi="Cambria"/>
      <w:i/>
      <w:iCs/>
      <w:color w:val="243F60"/>
    </w:rPr>
  </w:style>
  <w:style w:type="paragraph" w:styleId="Heading7">
    <w:name w:val="heading 7"/>
    <w:basedOn w:val="Normal"/>
    <w:next w:val="Normal"/>
    <w:link w:val="Heading7Char"/>
    <w:uiPriority w:val="9"/>
    <w:semiHidden/>
    <w:unhideWhenUsed/>
    <w:qFormat/>
    <w:rsid w:val="00A123D1"/>
    <w:pPr>
      <w:keepNext/>
      <w:keepLines/>
      <w:spacing w:before="200"/>
      <w:ind w:left="1296" w:hanging="1296"/>
      <w:outlineLvl w:val="6"/>
    </w:pPr>
    <w:rPr>
      <w:rFonts w:ascii="Cambria" w:hAnsi="Cambria"/>
      <w:i/>
      <w:iCs/>
      <w:color w:val="404040"/>
      <w:sz w:val="20"/>
    </w:rPr>
  </w:style>
  <w:style w:type="paragraph" w:styleId="Heading8">
    <w:name w:val="heading 8"/>
    <w:basedOn w:val="Normal"/>
    <w:next w:val="Normal"/>
    <w:link w:val="Heading8Char"/>
    <w:uiPriority w:val="9"/>
    <w:semiHidden/>
    <w:unhideWhenUsed/>
    <w:qFormat/>
    <w:rsid w:val="00A123D1"/>
    <w:pPr>
      <w:keepNext/>
      <w:keepLines/>
      <w:spacing w:before="200"/>
      <w:ind w:left="1440" w:hanging="1440"/>
      <w:outlineLvl w:val="7"/>
    </w:pPr>
    <w:rPr>
      <w:rFonts w:ascii="Cambria" w:hAnsi="Cambria"/>
      <w:color w:val="404040"/>
      <w:sz w:val="20"/>
      <w:szCs w:val="20"/>
    </w:rPr>
  </w:style>
  <w:style w:type="paragraph" w:styleId="Heading9">
    <w:name w:val="heading 9"/>
    <w:basedOn w:val="Normal"/>
    <w:next w:val="Normal"/>
    <w:link w:val="Heading9Char"/>
    <w:uiPriority w:val="9"/>
    <w:semiHidden/>
    <w:unhideWhenUsed/>
    <w:qFormat/>
    <w:rsid w:val="00A123D1"/>
    <w:pPr>
      <w:keepNext/>
      <w:keepLines/>
      <w:spacing w:before="200"/>
      <w:ind w:left="1584" w:hanging="1584"/>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A22A2"/>
    <w:rPr>
      <w:rFonts w:ascii="Arial" w:eastAsia="MS Gothic" w:hAnsi="Arial"/>
      <w:b/>
      <w:bCs/>
      <w:sz w:val="32"/>
      <w:szCs w:val="28"/>
    </w:rPr>
  </w:style>
  <w:style w:type="character" w:customStyle="1" w:styleId="Heading2Char">
    <w:name w:val="Heading 2 Char"/>
    <w:link w:val="Heading2"/>
    <w:uiPriority w:val="9"/>
    <w:rsid w:val="00030620"/>
    <w:rPr>
      <w:rFonts w:asciiTheme="majorHAnsi" w:eastAsia="MS Gothic" w:hAnsiTheme="majorHAnsi"/>
      <w:b/>
      <w:bCs/>
      <w:sz w:val="24"/>
      <w:szCs w:val="26"/>
    </w:rPr>
  </w:style>
  <w:style w:type="paragraph" w:styleId="Subtitle">
    <w:name w:val="Subtitle"/>
    <w:basedOn w:val="Normal"/>
    <w:next w:val="Normal"/>
    <w:link w:val="SubtitleChar"/>
    <w:uiPriority w:val="99"/>
    <w:qFormat/>
    <w:rsid w:val="00EF449A"/>
    <w:pPr>
      <w:numPr>
        <w:ilvl w:val="1"/>
      </w:numPr>
    </w:pPr>
    <w:rPr>
      <w:rFonts w:eastAsia="MS Gothic"/>
      <w:b/>
      <w:iCs/>
      <w:spacing w:val="15"/>
      <w:sz w:val="28"/>
    </w:rPr>
  </w:style>
  <w:style w:type="character" w:customStyle="1" w:styleId="SubtitleChar">
    <w:name w:val="Subtitle Char"/>
    <w:link w:val="Subtitle"/>
    <w:uiPriority w:val="99"/>
    <w:rsid w:val="00EF449A"/>
    <w:rPr>
      <w:rFonts w:ascii="Arial" w:eastAsia="MS Gothic" w:hAnsi="Arial" w:cs="Times New Roman"/>
      <w:b/>
      <w:iCs/>
      <w:spacing w:val="15"/>
      <w:sz w:val="28"/>
      <w:szCs w:val="24"/>
    </w:rPr>
  </w:style>
  <w:style w:type="paragraph" w:styleId="ListParagraph">
    <w:name w:val="List Paragraph"/>
    <w:basedOn w:val="Normal"/>
    <w:next w:val="ListBullet"/>
    <w:uiPriority w:val="34"/>
    <w:qFormat/>
    <w:rsid w:val="007A74AE"/>
    <w:pPr>
      <w:ind w:left="720"/>
      <w:contextualSpacing/>
    </w:pPr>
  </w:style>
  <w:style w:type="paragraph" w:styleId="ListBullet">
    <w:name w:val="List Bullet"/>
    <w:basedOn w:val="Normal"/>
    <w:uiPriority w:val="99"/>
    <w:unhideWhenUsed/>
    <w:rsid w:val="007A74AE"/>
    <w:pPr>
      <w:contextualSpacing/>
    </w:pPr>
  </w:style>
  <w:style w:type="character" w:styleId="SubtleEmphasis">
    <w:name w:val="Subtle Emphasis"/>
    <w:aliases w:val="Reference"/>
    <w:uiPriority w:val="19"/>
    <w:qFormat/>
    <w:rsid w:val="00CF61A2"/>
    <w:rPr>
      <w:i/>
      <w:iCs/>
      <w:color w:val="808080"/>
    </w:rPr>
  </w:style>
  <w:style w:type="paragraph" w:styleId="BodyText">
    <w:name w:val="Body Text"/>
    <w:basedOn w:val="Normal"/>
    <w:link w:val="BodyTextChar"/>
    <w:rsid w:val="00335602"/>
    <w:rPr>
      <w:szCs w:val="20"/>
      <w:lang w:val="en-US" w:eastAsia="en-CA"/>
    </w:rPr>
  </w:style>
  <w:style w:type="character" w:customStyle="1" w:styleId="BodyTextChar">
    <w:name w:val="Body Text Char"/>
    <w:link w:val="BodyText"/>
    <w:rsid w:val="00335602"/>
    <w:rPr>
      <w:rFonts w:ascii="Arial" w:hAnsi="Arial" w:cs="Times New Roman"/>
      <w:szCs w:val="20"/>
      <w:lang w:val="en-US" w:eastAsia="en-CA"/>
    </w:rPr>
  </w:style>
  <w:style w:type="character" w:styleId="CommentReference">
    <w:name w:val="annotation reference"/>
    <w:uiPriority w:val="99"/>
    <w:unhideWhenUsed/>
    <w:rsid w:val="00335602"/>
    <w:rPr>
      <w:sz w:val="16"/>
      <w:szCs w:val="16"/>
    </w:rPr>
  </w:style>
  <w:style w:type="paragraph" w:styleId="CommentText">
    <w:name w:val="annotation text"/>
    <w:basedOn w:val="Normal"/>
    <w:link w:val="CommentTextChar"/>
    <w:uiPriority w:val="99"/>
    <w:unhideWhenUsed/>
    <w:rsid w:val="00335602"/>
    <w:rPr>
      <w:rFonts w:ascii="Book Antiqua" w:eastAsia="MS Mincho" w:hAnsi="Book Antiqua"/>
      <w:sz w:val="20"/>
      <w:szCs w:val="20"/>
      <w:lang w:val="en-NZ" w:eastAsia="ja-JP"/>
    </w:rPr>
  </w:style>
  <w:style w:type="character" w:customStyle="1" w:styleId="CommentTextChar">
    <w:name w:val="Comment Text Char"/>
    <w:link w:val="CommentText"/>
    <w:uiPriority w:val="99"/>
    <w:rsid w:val="00335602"/>
    <w:rPr>
      <w:rFonts w:ascii="Book Antiqua" w:eastAsia="MS Mincho" w:hAnsi="Book Antiqua" w:cs="Times New Roman"/>
      <w:sz w:val="20"/>
      <w:szCs w:val="20"/>
      <w:lang w:val="en-NZ" w:eastAsia="ja-JP"/>
    </w:rPr>
  </w:style>
  <w:style w:type="paragraph" w:styleId="BalloonText">
    <w:name w:val="Balloon Text"/>
    <w:basedOn w:val="Normal"/>
    <w:link w:val="BalloonTextChar"/>
    <w:uiPriority w:val="99"/>
    <w:semiHidden/>
    <w:unhideWhenUsed/>
    <w:rsid w:val="00335602"/>
    <w:rPr>
      <w:rFonts w:ascii="Tahoma" w:hAnsi="Tahoma" w:cs="Tahoma"/>
      <w:sz w:val="16"/>
      <w:szCs w:val="16"/>
    </w:rPr>
  </w:style>
  <w:style w:type="character" w:customStyle="1" w:styleId="BalloonTextChar">
    <w:name w:val="Balloon Text Char"/>
    <w:link w:val="BalloonText"/>
    <w:uiPriority w:val="99"/>
    <w:semiHidden/>
    <w:rsid w:val="00335602"/>
    <w:rPr>
      <w:rFonts w:ascii="Tahoma" w:hAnsi="Tahoma" w:cs="Tahoma"/>
      <w:sz w:val="16"/>
      <w:szCs w:val="16"/>
    </w:rPr>
  </w:style>
  <w:style w:type="character" w:customStyle="1" w:styleId="Heading3Char">
    <w:name w:val="Heading 3 Char"/>
    <w:link w:val="Heading3"/>
    <w:uiPriority w:val="9"/>
    <w:rsid w:val="007C5689"/>
    <w:rPr>
      <w:rFonts w:ascii="Arial" w:eastAsia="MS Gothic" w:hAnsi="Arial"/>
      <w:b/>
      <w:bCs/>
      <w:sz w:val="22"/>
      <w:szCs w:val="24"/>
    </w:rPr>
  </w:style>
  <w:style w:type="table" w:styleId="TableGrid">
    <w:name w:val="Table Grid"/>
    <w:basedOn w:val="TableNormal"/>
    <w:uiPriority w:val="39"/>
    <w:rsid w:val="00161C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66C36"/>
    <w:pPr>
      <w:autoSpaceDE w:val="0"/>
      <w:autoSpaceDN w:val="0"/>
      <w:adjustRightInd w:val="0"/>
    </w:pPr>
    <w:rPr>
      <w:rFonts w:ascii="Arial" w:eastAsia="Calibri" w:hAnsi="Arial" w:cs="Arial"/>
      <w:color w:val="000000"/>
      <w:sz w:val="24"/>
      <w:szCs w:val="24"/>
    </w:rPr>
  </w:style>
  <w:style w:type="character" w:customStyle="1" w:styleId="Heading6Char">
    <w:name w:val="Heading 6 Char"/>
    <w:link w:val="Heading6"/>
    <w:uiPriority w:val="9"/>
    <w:semiHidden/>
    <w:rsid w:val="001855E0"/>
    <w:rPr>
      <w:rFonts w:ascii="Cambria" w:eastAsia="MS Gothic" w:hAnsi="Cambria" w:cs="Times New Roman"/>
      <w:i/>
      <w:iCs/>
      <w:color w:val="243F60"/>
      <w:szCs w:val="24"/>
    </w:rPr>
  </w:style>
  <w:style w:type="character" w:styleId="Emphasis">
    <w:name w:val="Emphasis"/>
    <w:aliases w:val="TABLE heading"/>
    <w:uiPriority w:val="20"/>
    <w:qFormat/>
    <w:rsid w:val="007F0C67"/>
    <w:rPr>
      <w:rFonts w:ascii="Arial" w:hAnsi="Arial"/>
      <w:iCs/>
      <w:sz w:val="20"/>
    </w:rPr>
  </w:style>
  <w:style w:type="paragraph" w:styleId="Header">
    <w:name w:val="header"/>
    <w:basedOn w:val="Normal"/>
    <w:link w:val="HeaderChar"/>
    <w:uiPriority w:val="99"/>
    <w:unhideWhenUsed/>
    <w:rsid w:val="001855E0"/>
    <w:pPr>
      <w:tabs>
        <w:tab w:val="center" w:pos="4513"/>
        <w:tab w:val="right" w:pos="9026"/>
      </w:tabs>
    </w:pPr>
  </w:style>
  <w:style w:type="character" w:customStyle="1" w:styleId="HeaderChar">
    <w:name w:val="Header Char"/>
    <w:link w:val="Header"/>
    <w:uiPriority w:val="99"/>
    <w:rsid w:val="001855E0"/>
    <w:rPr>
      <w:rFonts w:cs="Times New Roman"/>
      <w:szCs w:val="24"/>
    </w:rPr>
  </w:style>
  <w:style w:type="paragraph" w:styleId="Footer">
    <w:name w:val="footer"/>
    <w:basedOn w:val="Normal"/>
    <w:link w:val="FooterChar"/>
    <w:uiPriority w:val="99"/>
    <w:unhideWhenUsed/>
    <w:rsid w:val="001855E0"/>
    <w:pPr>
      <w:tabs>
        <w:tab w:val="center" w:pos="4513"/>
        <w:tab w:val="right" w:pos="9026"/>
      </w:tabs>
    </w:pPr>
  </w:style>
  <w:style w:type="character" w:customStyle="1" w:styleId="FooterChar">
    <w:name w:val="Footer Char"/>
    <w:link w:val="Footer"/>
    <w:uiPriority w:val="99"/>
    <w:rsid w:val="001855E0"/>
    <w:rPr>
      <w:rFonts w:cs="Times New Roman"/>
      <w:szCs w:val="24"/>
    </w:rPr>
  </w:style>
  <w:style w:type="character" w:customStyle="1" w:styleId="Heading5Char">
    <w:name w:val="Heading 5 Char"/>
    <w:link w:val="Heading5"/>
    <w:uiPriority w:val="9"/>
    <w:semiHidden/>
    <w:rsid w:val="00E715ED"/>
    <w:rPr>
      <w:rFonts w:ascii="Cambria" w:eastAsia="MS Gothic" w:hAnsi="Cambria" w:cs="Times New Roman"/>
      <w:color w:val="243F60"/>
      <w:szCs w:val="24"/>
    </w:rPr>
  </w:style>
  <w:style w:type="paragraph" w:styleId="TOCHeading">
    <w:name w:val="TOC Heading"/>
    <w:basedOn w:val="Heading1"/>
    <w:next w:val="Normal"/>
    <w:uiPriority w:val="39"/>
    <w:semiHidden/>
    <w:unhideWhenUsed/>
    <w:qFormat/>
    <w:rsid w:val="00F95BFE"/>
    <w:pPr>
      <w:numPr>
        <w:numId w:val="0"/>
      </w:numPr>
      <w:spacing w:line="276" w:lineRule="auto"/>
      <w:outlineLvl w:val="9"/>
    </w:pPr>
    <w:rPr>
      <w:lang w:val="en-US"/>
    </w:rPr>
  </w:style>
  <w:style w:type="paragraph" w:styleId="TOC1">
    <w:name w:val="toc 1"/>
    <w:basedOn w:val="Normal"/>
    <w:next w:val="Normal"/>
    <w:autoRedefine/>
    <w:uiPriority w:val="39"/>
    <w:unhideWhenUsed/>
    <w:rsid w:val="00F95BFE"/>
    <w:pPr>
      <w:spacing w:after="100"/>
    </w:pPr>
  </w:style>
  <w:style w:type="paragraph" w:styleId="TOC2">
    <w:name w:val="toc 2"/>
    <w:basedOn w:val="Normal"/>
    <w:next w:val="Normal"/>
    <w:autoRedefine/>
    <w:uiPriority w:val="39"/>
    <w:unhideWhenUsed/>
    <w:rsid w:val="00F95BFE"/>
    <w:pPr>
      <w:spacing w:after="100"/>
      <w:ind w:left="220"/>
    </w:pPr>
  </w:style>
  <w:style w:type="character" w:styleId="Hyperlink">
    <w:name w:val="Hyperlink"/>
    <w:uiPriority w:val="99"/>
    <w:unhideWhenUsed/>
    <w:rsid w:val="00F95BFE"/>
    <w:rPr>
      <w:color w:val="0000FF"/>
      <w:u w:val="single"/>
    </w:rPr>
  </w:style>
  <w:style w:type="paragraph" w:styleId="NormalWeb">
    <w:name w:val="Normal (Web)"/>
    <w:basedOn w:val="Normal"/>
    <w:uiPriority w:val="99"/>
    <w:unhideWhenUsed/>
    <w:rsid w:val="004B33D3"/>
    <w:pPr>
      <w:spacing w:before="100" w:beforeAutospacing="1" w:after="100" w:afterAutospacing="1"/>
    </w:pPr>
    <w:rPr>
      <w:rFonts w:ascii="Times New Roman" w:eastAsia="MS Mincho" w:hAnsi="Times New Roman"/>
      <w:sz w:val="24"/>
      <w:lang w:val="en-CA" w:eastAsia="en-CA"/>
    </w:rPr>
  </w:style>
  <w:style w:type="paragraph" w:customStyle="1" w:styleId="BankNormal">
    <w:name w:val="BankNormal"/>
    <w:basedOn w:val="Normal"/>
    <w:uiPriority w:val="99"/>
    <w:rsid w:val="004B33D3"/>
    <w:pPr>
      <w:spacing w:after="240"/>
      <w:ind w:left="1134" w:hanging="1134"/>
    </w:pPr>
    <w:rPr>
      <w:szCs w:val="20"/>
      <w:lang w:eastAsia="en-CA"/>
    </w:rPr>
  </w:style>
  <w:style w:type="character" w:styleId="Strong">
    <w:name w:val="Strong"/>
    <w:uiPriority w:val="22"/>
    <w:qFormat/>
    <w:rsid w:val="00D664E5"/>
    <w:rPr>
      <w:bCs/>
      <w:color w:val="808080"/>
      <w:sz w:val="22"/>
    </w:rPr>
  </w:style>
  <w:style w:type="paragraph" w:styleId="TOC3">
    <w:name w:val="toc 3"/>
    <w:basedOn w:val="Normal"/>
    <w:next w:val="Normal"/>
    <w:autoRedefine/>
    <w:uiPriority w:val="39"/>
    <w:unhideWhenUsed/>
    <w:rsid w:val="00D664E5"/>
    <w:pPr>
      <w:spacing w:after="100"/>
      <w:ind w:left="440"/>
    </w:pPr>
  </w:style>
  <w:style w:type="paragraph" w:customStyle="1" w:styleId="Tableheader">
    <w:name w:val="Table header"/>
    <w:basedOn w:val="Normal"/>
    <w:qFormat/>
    <w:rsid w:val="007F0C67"/>
    <w:rPr>
      <w:b/>
      <w:sz w:val="20"/>
    </w:rPr>
  </w:style>
  <w:style w:type="paragraph" w:customStyle="1" w:styleId="Tabletext">
    <w:name w:val="Table text"/>
    <w:basedOn w:val="Normal"/>
    <w:qFormat/>
    <w:rsid w:val="001B44D9"/>
    <w:rPr>
      <w:sz w:val="20"/>
      <w:szCs w:val="22"/>
    </w:rPr>
  </w:style>
  <w:style w:type="paragraph" w:customStyle="1" w:styleId="Tabletitle">
    <w:name w:val="Table title"/>
    <w:basedOn w:val="Tableheader"/>
    <w:qFormat/>
    <w:rsid w:val="007F0C67"/>
  </w:style>
  <w:style w:type="character" w:customStyle="1" w:styleId="Heading4Char">
    <w:name w:val="Heading 4 Char"/>
    <w:link w:val="Heading4"/>
    <w:uiPriority w:val="9"/>
    <w:rsid w:val="00FA22A2"/>
    <w:rPr>
      <w:rFonts w:ascii="Arial" w:hAnsi="Arial"/>
      <w:b/>
      <w:bCs/>
      <w:i/>
      <w:iCs/>
      <w:color w:val="1F497D" w:themeColor="text2"/>
      <w:szCs w:val="24"/>
    </w:rPr>
  </w:style>
  <w:style w:type="character" w:customStyle="1" w:styleId="Heading7Char">
    <w:name w:val="Heading 7 Char"/>
    <w:link w:val="Heading7"/>
    <w:uiPriority w:val="9"/>
    <w:semiHidden/>
    <w:rsid w:val="00A123D1"/>
    <w:rPr>
      <w:rFonts w:ascii="Cambria" w:hAnsi="Cambria" w:cs="Times New Roman"/>
      <w:i/>
      <w:iCs/>
      <w:color w:val="404040"/>
      <w:sz w:val="20"/>
      <w:szCs w:val="24"/>
    </w:rPr>
  </w:style>
  <w:style w:type="character" w:customStyle="1" w:styleId="Heading8Char">
    <w:name w:val="Heading 8 Char"/>
    <w:link w:val="Heading8"/>
    <w:uiPriority w:val="9"/>
    <w:semiHidden/>
    <w:rsid w:val="00A123D1"/>
    <w:rPr>
      <w:rFonts w:ascii="Cambria" w:hAnsi="Cambria" w:cs="Times New Roman"/>
      <w:color w:val="404040"/>
      <w:sz w:val="20"/>
      <w:szCs w:val="20"/>
    </w:rPr>
  </w:style>
  <w:style w:type="character" w:customStyle="1" w:styleId="Heading9Char">
    <w:name w:val="Heading 9 Char"/>
    <w:link w:val="Heading9"/>
    <w:uiPriority w:val="9"/>
    <w:semiHidden/>
    <w:rsid w:val="00A123D1"/>
    <w:rPr>
      <w:rFonts w:ascii="Cambria" w:hAnsi="Cambria" w:cs="Times New Roman"/>
      <w:i/>
      <w:iCs/>
      <w:color w:val="404040"/>
      <w:sz w:val="20"/>
      <w:szCs w:val="20"/>
    </w:rPr>
  </w:style>
  <w:style w:type="paragraph" w:customStyle="1" w:styleId="ChapterNumber">
    <w:name w:val="ChapterNumber"/>
    <w:basedOn w:val="Normal"/>
    <w:next w:val="Normal"/>
    <w:rsid w:val="00A123D1"/>
    <w:pPr>
      <w:spacing w:after="360"/>
    </w:pPr>
    <w:rPr>
      <w:sz w:val="20"/>
      <w:szCs w:val="20"/>
    </w:rPr>
  </w:style>
  <w:style w:type="paragraph" w:styleId="BodyText2">
    <w:name w:val="Body Text 2"/>
    <w:basedOn w:val="Normal"/>
    <w:link w:val="BodyText2Char"/>
    <w:rsid w:val="00A123D1"/>
    <w:rPr>
      <w:rFonts w:ascii="Gill Sans" w:hAnsi="Gill Sans"/>
      <w:b/>
      <w:sz w:val="20"/>
    </w:rPr>
  </w:style>
  <w:style w:type="character" w:customStyle="1" w:styleId="BodyText2Char">
    <w:name w:val="Body Text 2 Char"/>
    <w:link w:val="BodyText2"/>
    <w:rsid w:val="00A123D1"/>
    <w:rPr>
      <w:rFonts w:ascii="Gill Sans" w:hAnsi="Gill Sans" w:cs="Times New Roman"/>
      <w:b/>
      <w:sz w:val="20"/>
      <w:szCs w:val="24"/>
    </w:rPr>
  </w:style>
  <w:style w:type="character" w:styleId="PageNumber">
    <w:name w:val="page number"/>
    <w:basedOn w:val="DefaultParagraphFont"/>
    <w:rsid w:val="00A123D1"/>
  </w:style>
  <w:style w:type="character" w:customStyle="1" w:styleId="CommentSubjectChar">
    <w:name w:val="Comment Subject Char"/>
    <w:link w:val="CommentSubject"/>
    <w:uiPriority w:val="99"/>
    <w:semiHidden/>
    <w:rsid w:val="00A123D1"/>
    <w:rPr>
      <w:rFonts w:ascii="Arial" w:eastAsia="MS Mincho" w:hAnsi="Arial" w:cs="Times New Roman"/>
      <w:b/>
      <w:bCs/>
      <w:sz w:val="20"/>
      <w:szCs w:val="20"/>
      <w:lang w:val="en-NZ" w:eastAsia="ja-JP"/>
    </w:rPr>
  </w:style>
  <w:style w:type="paragraph" w:styleId="CommentSubject">
    <w:name w:val="annotation subject"/>
    <w:basedOn w:val="CommentText"/>
    <w:next w:val="CommentText"/>
    <w:link w:val="CommentSubjectChar"/>
    <w:uiPriority w:val="99"/>
    <w:semiHidden/>
    <w:unhideWhenUsed/>
    <w:rsid w:val="00A123D1"/>
    <w:rPr>
      <w:rFonts w:ascii="Arial" w:hAnsi="Arial"/>
      <w:b/>
      <w:bCs/>
    </w:rPr>
  </w:style>
  <w:style w:type="character" w:customStyle="1" w:styleId="CommentSubjectChar1">
    <w:name w:val="Comment Subject Char1"/>
    <w:uiPriority w:val="99"/>
    <w:semiHidden/>
    <w:rsid w:val="00A123D1"/>
    <w:rPr>
      <w:rFonts w:ascii="Arial" w:eastAsia="MS Mincho" w:hAnsi="Arial" w:cs="Times New Roman"/>
      <w:b/>
      <w:bCs/>
      <w:sz w:val="20"/>
      <w:szCs w:val="20"/>
      <w:lang w:val="en-NZ" w:eastAsia="ja-JP"/>
    </w:rPr>
  </w:style>
  <w:style w:type="paragraph" w:styleId="Title">
    <w:name w:val="Title"/>
    <w:aliases w:val="Title 1"/>
    <w:basedOn w:val="Normal"/>
    <w:next w:val="Normal"/>
    <w:link w:val="TitleChar"/>
    <w:uiPriority w:val="10"/>
    <w:qFormat/>
    <w:rsid w:val="00A123D1"/>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aliases w:val="Title 1 Char"/>
    <w:link w:val="Title"/>
    <w:uiPriority w:val="10"/>
    <w:rsid w:val="00A123D1"/>
    <w:rPr>
      <w:rFonts w:ascii="Cambria" w:hAnsi="Cambria" w:cs="Times New Roman"/>
      <w:color w:val="17365D"/>
      <w:spacing w:val="5"/>
      <w:kern w:val="28"/>
      <w:sz w:val="52"/>
      <w:szCs w:val="52"/>
    </w:rPr>
  </w:style>
  <w:style w:type="character" w:styleId="FootnoteReference">
    <w:name w:val="footnote reference"/>
    <w:rsid w:val="00A123D1"/>
    <w:rPr>
      <w:vertAlign w:val="superscript"/>
    </w:rPr>
  </w:style>
  <w:style w:type="paragraph" w:styleId="FootnoteText">
    <w:name w:val="footnote text"/>
    <w:aliases w:val="BRS FOOTNOTE TEXT"/>
    <w:basedOn w:val="Normal"/>
    <w:link w:val="FootnoteTextChar"/>
    <w:unhideWhenUsed/>
    <w:rsid w:val="00932F45"/>
    <w:pPr>
      <w:tabs>
        <w:tab w:val="left" w:pos="360"/>
      </w:tabs>
      <w:ind w:left="142" w:hanging="142"/>
    </w:pPr>
    <w:rPr>
      <w:rFonts w:eastAsia="MS Mincho"/>
      <w:sz w:val="20"/>
      <w:szCs w:val="20"/>
      <w:lang w:eastAsia="ja-JP"/>
    </w:rPr>
  </w:style>
  <w:style w:type="character" w:customStyle="1" w:styleId="FootnoteTextChar">
    <w:name w:val="Footnote Text Char"/>
    <w:aliases w:val="BRS FOOTNOTE TEXT Char"/>
    <w:link w:val="FootnoteText"/>
    <w:rsid w:val="00932F45"/>
    <w:rPr>
      <w:rFonts w:asciiTheme="majorHAnsi" w:eastAsia="MS Mincho" w:hAnsiTheme="majorHAnsi"/>
      <w:lang w:eastAsia="ja-JP"/>
    </w:rPr>
  </w:style>
  <w:style w:type="character" w:customStyle="1" w:styleId="Downloads-titleChar">
    <w:name w:val="Downloads - title Char"/>
    <w:link w:val="Downloads-title"/>
    <w:locked/>
    <w:rsid w:val="00A123D1"/>
    <w:rPr>
      <w:rFonts w:ascii="Book Antiqua" w:hAnsi="Book Antiqua"/>
      <w:b/>
      <w:bCs/>
    </w:rPr>
  </w:style>
  <w:style w:type="paragraph" w:customStyle="1" w:styleId="Downloads-title">
    <w:name w:val="Downloads - title"/>
    <w:basedOn w:val="Normal"/>
    <w:link w:val="Downloads-titleChar"/>
    <w:qFormat/>
    <w:rsid w:val="00A123D1"/>
    <w:pPr>
      <w:spacing w:before="120" w:line="320" w:lineRule="exact"/>
    </w:pPr>
    <w:rPr>
      <w:rFonts w:ascii="Book Antiqua" w:hAnsi="Book Antiqua"/>
      <w:b/>
      <w:bCs/>
      <w:szCs w:val="22"/>
    </w:rPr>
  </w:style>
  <w:style w:type="paragraph" w:customStyle="1" w:styleId="MSCTemplate">
    <w:name w:val="MSC Template"/>
    <w:basedOn w:val="ListBullet"/>
    <w:qFormat/>
    <w:rsid w:val="00A123D1"/>
    <w:pPr>
      <w:numPr>
        <w:numId w:val="1"/>
      </w:numPr>
    </w:pPr>
    <w:rPr>
      <w:rFonts w:ascii="Calibri" w:hAnsi="Calibri"/>
    </w:rPr>
  </w:style>
  <w:style w:type="paragraph" w:customStyle="1" w:styleId="SDRTracing">
    <w:name w:val="SDR Tracing"/>
    <w:basedOn w:val="Normal"/>
    <w:next w:val="BodyText"/>
    <w:link w:val="SDRTracingChar"/>
    <w:qFormat/>
    <w:rsid w:val="00A123D1"/>
    <w:pPr>
      <w:numPr>
        <w:numId w:val="2"/>
      </w:numPr>
      <w:tabs>
        <w:tab w:val="clear" w:pos="360"/>
      </w:tabs>
      <w:spacing w:after="180"/>
      <w:ind w:left="1134" w:hanging="1134"/>
    </w:pPr>
    <w:rPr>
      <w:rFonts w:eastAsia="Calibri"/>
      <w:b/>
      <w:i/>
      <w:color w:val="FF0000"/>
      <w:kern w:val="2"/>
      <w:szCs w:val="22"/>
      <w:lang w:val="en-US" w:eastAsia="zh-CN"/>
    </w:rPr>
  </w:style>
  <w:style w:type="character" w:customStyle="1" w:styleId="SDRTracingChar">
    <w:name w:val="SDR Tracing Char"/>
    <w:link w:val="SDRTracing"/>
    <w:rsid w:val="00A123D1"/>
    <w:rPr>
      <w:rFonts w:asciiTheme="majorHAnsi" w:eastAsia="Calibri" w:hAnsiTheme="majorHAnsi"/>
      <w:b/>
      <w:i/>
      <w:color w:val="FF0000"/>
      <w:kern w:val="2"/>
      <w:sz w:val="22"/>
      <w:szCs w:val="22"/>
      <w:lang w:val="en-US" w:eastAsia="zh-CN"/>
    </w:rPr>
  </w:style>
  <w:style w:type="paragraph" w:styleId="TOC4">
    <w:name w:val="toc 4"/>
    <w:basedOn w:val="Normal"/>
    <w:next w:val="Normal"/>
    <w:autoRedefine/>
    <w:uiPriority w:val="39"/>
    <w:unhideWhenUsed/>
    <w:rsid w:val="00D71900"/>
    <w:pPr>
      <w:ind w:left="660"/>
    </w:pPr>
  </w:style>
  <w:style w:type="paragraph" w:styleId="TOC5">
    <w:name w:val="toc 5"/>
    <w:basedOn w:val="Normal"/>
    <w:next w:val="Normal"/>
    <w:autoRedefine/>
    <w:uiPriority w:val="39"/>
    <w:unhideWhenUsed/>
    <w:rsid w:val="00D71900"/>
    <w:pPr>
      <w:ind w:left="880"/>
    </w:pPr>
  </w:style>
  <w:style w:type="paragraph" w:styleId="TOC6">
    <w:name w:val="toc 6"/>
    <w:basedOn w:val="Normal"/>
    <w:next w:val="Normal"/>
    <w:autoRedefine/>
    <w:uiPriority w:val="39"/>
    <w:unhideWhenUsed/>
    <w:rsid w:val="00D71900"/>
    <w:pPr>
      <w:ind w:left="1100"/>
    </w:pPr>
  </w:style>
  <w:style w:type="paragraph" w:styleId="TOC7">
    <w:name w:val="toc 7"/>
    <w:basedOn w:val="Normal"/>
    <w:next w:val="Normal"/>
    <w:autoRedefine/>
    <w:uiPriority w:val="39"/>
    <w:unhideWhenUsed/>
    <w:rsid w:val="00D71900"/>
    <w:pPr>
      <w:ind w:left="1320"/>
    </w:pPr>
  </w:style>
  <w:style w:type="paragraph" w:styleId="TOC8">
    <w:name w:val="toc 8"/>
    <w:basedOn w:val="Normal"/>
    <w:next w:val="Normal"/>
    <w:autoRedefine/>
    <w:uiPriority w:val="39"/>
    <w:unhideWhenUsed/>
    <w:rsid w:val="00D71900"/>
    <w:pPr>
      <w:ind w:left="1540"/>
    </w:pPr>
  </w:style>
  <w:style w:type="paragraph" w:styleId="TOC9">
    <w:name w:val="toc 9"/>
    <w:basedOn w:val="Normal"/>
    <w:next w:val="Normal"/>
    <w:autoRedefine/>
    <w:uiPriority w:val="39"/>
    <w:unhideWhenUsed/>
    <w:rsid w:val="00D71900"/>
    <w:pPr>
      <w:ind w:left="1760"/>
    </w:pPr>
  </w:style>
  <w:style w:type="paragraph" w:styleId="Caption">
    <w:name w:val="caption"/>
    <w:basedOn w:val="Normal"/>
    <w:next w:val="Normal"/>
    <w:uiPriority w:val="35"/>
    <w:unhideWhenUsed/>
    <w:qFormat/>
    <w:rsid w:val="0047287B"/>
    <w:pPr>
      <w:spacing w:before="120"/>
    </w:pPr>
    <w:rPr>
      <w:b/>
      <w:bCs/>
      <w:color w:val="4F81BD" w:themeColor="accent1"/>
      <w:sz w:val="18"/>
      <w:szCs w:val="18"/>
    </w:rPr>
  </w:style>
  <w:style w:type="paragraph" w:styleId="NoSpacing">
    <w:name w:val="No Spacing"/>
    <w:aliases w:val="Text"/>
    <w:basedOn w:val="Default"/>
    <w:uiPriority w:val="1"/>
    <w:qFormat/>
    <w:rsid w:val="00D50846"/>
    <w:pPr>
      <w:jc w:val="both"/>
    </w:pPr>
    <w:rPr>
      <w:rFonts w:ascii="Calibri" w:eastAsiaTheme="minorHAnsi" w:hAnsi="Calibri"/>
      <w:sz w:val="22"/>
      <w:lang w:val="fr-FR"/>
    </w:rPr>
  </w:style>
  <w:style w:type="character" w:styleId="FollowedHyperlink">
    <w:name w:val="FollowedHyperlink"/>
    <w:basedOn w:val="DefaultParagraphFont"/>
    <w:uiPriority w:val="99"/>
    <w:semiHidden/>
    <w:unhideWhenUsed/>
    <w:rsid w:val="00D061EE"/>
    <w:rPr>
      <w:color w:val="800080" w:themeColor="followedHyperlink"/>
      <w:u w:val="single"/>
    </w:rPr>
  </w:style>
  <w:style w:type="paragraph" w:styleId="Revision">
    <w:name w:val="Revision"/>
    <w:hidden/>
    <w:uiPriority w:val="71"/>
    <w:rsid w:val="00AA4820"/>
    <w:rPr>
      <w:rFonts w:asciiTheme="majorHAnsi" w:hAnsiTheme="majorHAnsi"/>
      <w:sz w:val="22"/>
      <w:szCs w:val="24"/>
    </w:rPr>
  </w:style>
  <w:style w:type="paragraph" w:customStyle="1" w:styleId="Non-indexedHeading">
    <w:name w:val="Non-indexed Heading"/>
    <w:basedOn w:val="Heading1"/>
    <w:link w:val="Non-indexedHeadingChar"/>
    <w:qFormat/>
    <w:rsid w:val="0094023F"/>
    <w:pPr>
      <w:numPr>
        <w:numId w:val="0"/>
      </w:numPr>
      <w:ind w:left="720" w:hanging="360"/>
    </w:pPr>
  </w:style>
  <w:style w:type="character" w:customStyle="1" w:styleId="Non-indexedHeadingChar">
    <w:name w:val="Non-indexed Heading Char"/>
    <w:basedOn w:val="Heading1Char"/>
    <w:link w:val="Non-indexedHeading"/>
    <w:rsid w:val="0094023F"/>
    <w:rPr>
      <w:rFonts w:asciiTheme="majorHAnsi" w:eastAsia="MS Gothic" w:hAnsiTheme="majorHAnsi"/>
      <w:b/>
      <w:bCs/>
      <w:sz w:val="32"/>
      <w:szCs w:val="28"/>
    </w:rPr>
  </w:style>
  <w:style w:type="character" w:customStyle="1" w:styleId="A5">
    <w:name w:val="A5"/>
    <w:uiPriority w:val="99"/>
    <w:rsid w:val="00AD18DE"/>
    <w:rPr>
      <w:rFonts w:cs="Meta Offc Pro"/>
      <w:color w:val="211D1E"/>
      <w:sz w:val="20"/>
      <w:szCs w:val="20"/>
    </w:rPr>
  </w:style>
  <w:style w:type="character" w:customStyle="1" w:styleId="st">
    <w:name w:val="st"/>
    <w:basedOn w:val="DefaultParagraphFont"/>
    <w:rsid w:val="00C2700F"/>
  </w:style>
  <w:style w:type="character" w:customStyle="1" w:styleId="tgc">
    <w:name w:val="_tgc"/>
    <w:basedOn w:val="DefaultParagraphFont"/>
    <w:rsid w:val="00F909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08905">
      <w:bodyDiv w:val="1"/>
      <w:marLeft w:val="0"/>
      <w:marRight w:val="0"/>
      <w:marTop w:val="0"/>
      <w:marBottom w:val="0"/>
      <w:divBdr>
        <w:top w:val="none" w:sz="0" w:space="0" w:color="auto"/>
        <w:left w:val="none" w:sz="0" w:space="0" w:color="auto"/>
        <w:bottom w:val="none" w:sz="0" w:space="0" w:color="auto"/>
        <w:right w:val="none" w:sz="0" w:space="0" w:color="auto"/>
      </w:divBdr>
    </w:div>
    <w:div w:id="61215791">
      <w:bodyDiv w:val="1"/>
      <w:marLeft w:val="0"/>
      <w:marRight w:val="0"/>
      <w:marTop w:val="0"/>
      <w:marBottom w:val="0"/>
      <w:divBdr>
        <w:top w:val="none" w:sz="0" w:space="0" w:color="auto"/>
        <w:left w:val="none" w:sz="0" w:space="0" w:color="auto"/>
        <w:bottom w:val="none" w:sz="0" w:space="0" w:color="auto"/>
        <w:right w:val="none" w:sz="0" w:space="0" w:color="auto"/>
      </w:divBdr>
    </w:div>
    <w:div w:id="171143444">
      <w:bodyDiv w:val="1"/>
      <w:marLeft w:val="0"/>
      <w:marRight w:val="0"/>
      <w:marTop w:val="0"/>
      <w:marBottom w:val="0"/>
      <w:divBdr>
        <w:top w:val="none" w:sz="0" w:space="0" w:color="auto"/>
        <w:left w:val="none" w:sz="0" w:space="0" w:color="auto"/>
        <w:bottom w:val="none" w:sz="0" w:space="0" w:color="auto"/>
        <w:right w:val="none" w:sz="0" w:space="0" w:color="auto"/>
      </w:divBdr>
    </w:div>
    <w:div w:id="285697858">
      <w:bodyDiv w:val="1"/>
      <w:marLeft w:val="0"/>
      <w:marRight w:val="0"/>
      <w:marTop w:val="0"/>
      <w:marBottom w:val="0"/>
      <w:divBdr>
        <w:top w:val="none" w:sz="0" w:space="0" w:color="auto"/>
        <w:left w:val="none" w:sz="0" w:space="0" w:color="auto"/>
        <w:bottom w:val="none" w:sz="0" w:space="0" w:color="auto"/>
        <w:right w:val="none" w:sz="0" w:space="0" w:color="auto"/>
      </w:divBdr>
    </w:div>
    <w:div w:id="371393024">
      <w:bodyDiv w:val="1"/>
      <w:marLeft w:val="0"/>
      <w:marRight w:val="0"/>
      <w:marTop w:val="0"/>
      <w:marBottom w:val="0"/>
      <w:divBdr>
        <w:top w:val="none" w:sz="0" w:space="0" w:color="auto"/>
        <w:left w:val="none" w:sz="0" w:space="0" w:color="auto"/>
        <w:bottom w:val="none" w:sz="0" w:space="0" w:color="auto"/>
        <w:right w:val="none" w:sz="0" w:space="0" w:color="auto"/>
      </w:divBdr>
      <w:divsChild>
        <w:div w:id="1684017792">
          <w:marLeft w:val="0"/>
          <w:marRight w:val="0"/>
          <w:marTop w:val="0"/>
          <w:marBottom w:val="0"/>
          <w:divBdr>
            <w:top w:val="none" w:sz="0" w:space="0" w:color="auto"/>
            <w:left w:val="none" w:sz="0" w:space="0" w:color="auto"/>
            <w:bottom w:val="none" w:sz="0" w:space="0" w:color="auto"/>
            <w:right w:val="none" w:sz="0" w:space="0" w:color="auto"/>
          </w:divBdr>
        </w:div>
        <w:div w:id="862981238">
          <w:marLeft w:val="0"/>
          <w:marRight w:val="0"/>
          <w:marTop w:val="0"/>
          <w:marBottom w:val="0"/>
          <w:divBdr>
            <w:top w:val="none" w:sz="0" w:space="0" w:color="auto"/>
            <w:left w:val="none" w:sz="0" w:space="0" w:color="auto"/>
            <w:bottom w:val="none" w:sz="0" w:space="0" w:color="auto"/>
            <w:right w:val="none" w:sz="0" w:space="0" w:color="auto"/>
          </w:divBdr>
        </w:div>
        <w:div w:id="236012464">
          <w:marLeft w:val="0"/>
          <w:marRight w:val="0"/>
          <w:marTop w:val="0"/>
          <w:marBottom w:val="0"/>
          <w:divBdr>
            <w:top w:val="none" w:sz="0" w:space="0" w:color="auto"/>
            <w:left w:val="none" w:sz="0" w:space="0" w:color="auto"/>
            <w:bottom w:val="none" w:sz="0" w:space="0" w:color="auto"/>
            <w:right w:val="none" w:sz="0" w:space="0" w:color="auto"/>
          </w:divBdr>
        </w:div>
        <w:div w:id="1294823536">
          <w:marLeft w:val="0"/>
          <w:marRight w:val="0"/>
          <w:marTop w:val="0"/>
          <w:marBottom w:val="0"/>
          <w:divBdr>
            <w:top w:val="none" w:sz="0" w:space="0" w:color="auto"/>
            <w:left w:val="none" w:sz="0" w:space="0" w:color="auto"/>
            <w:bottom w:val="none" w:sz="0" w:space="0" w:color="auto"/>
            <w:right w:val="none" w:sz="0" w:space="0" w:color="auto"/>
          </w:divBdr>
        </w:div>
      </w:divsChild>
    </w:div>
    <w:div w:id="822622686">
      <w:bodyDiv w:val="1"/>
      <w:marLeft w:val="0"/>
      <w:marRight w:val="0"/>
      <w:marTop w:val="0"/>
      <w:marBottom w:val="0"/>
      <w:divBdr>
        <w:top w:val="none" w:sz="0" w:space="0" w:color="auto"/>
        <w:left w:val="none" w:sz="0" w:space="0" w:color="auto"/>
        <w:bottom w:val="none" w:sz="0" w:space="0" w:color="auto"/>
        <w:right w:val="none" w:sz="0" w:space="0" w:color="auto"/>
      </w:divBdr>
      <w:divsChild>
        <w:div w:id="1102260937">
          <w:marLeft w:val="0"/>
          <w:marRight w:val="0"/>
          <w:marTop w:val="0"/>
          <w:marBottom w:val="0"/>
          <w:divBdr>
            <w:top w:val="none" w:sz="0" w:space="0" w:color="auto"/>
            <w:left w:val="none" w:sz="0" w:space="0" w:color="auto"/>
            <w:bottom w:val="none" w:sz="0" w:space="0" w:color="auto"/>
            <w:right w:val="none" w:sz="0" w:space="0" w:color="auto"/>
          </w:divBdr>
        </w:div>
        <w:div w:id="1955398566">
          <w:marLeft w:val="0"/>
          <w:marRight w:val="0"/>
          <w:marTop w:val="0"/>
          <w:marBottom w:val="0"/>
          <w:divBdr>
            <w:top w:val="none" w:sz="0" w:space="0" w:color="auto"/>
            <w:left w:val="none" w:sz="0" w:space="0" w:color="auto"/>
            <w:bottom w:val="none" w:sz="0" w:space="0" w:color="auto"/>
            <w:right w:val="none" w:sz="0" w:space="0" w:color="auto"/>
          </w:divBdr>
        </w:div>
        <w:div w:id="26296650">
          <w:marLeft w:val="0"/>
          <w:marRight w:val="0"/>
          <w:marTop w:val="0"/>
          <w:marBottom w:val="0"/>
          <w:divBdr>
            <w:top w:val="none" w:sz="0" w:space="0" w:color="auto"/>
            <w:left w:val="none" w:sz="0" w:space="0" w:color="auto"/>
            <w:bottom w:val="none" w:sz="0" w:space="0" w:color="auto"/>
            <w:right w:val="none" w:sz="0" w:space="0" w:color="auto"/>
          </w:divBdr>
        </w:div>
        <w:div w:id="1347100318">
          <w:marLeft w:val="0"/>
          <w:marRight w:val="0"/>
          <w:marTop w:val="0"/>
          <w:marBottom w:val="0"/>
          <w:divBdr>
            <w:top w:val="none" w:sz="0" w:space="0" w:color="auto"/>
            <w:left w:val="none" w:sz="0" w:space="0" w:color="auto"/>
            <w:bottom w:val="none" w:sz="0" w:space="0" w:color="auto"/>
            <w:right w:val="none" w:sz="0" w:space="0" w:color="auto"/>
          </w:divBdr>
        </w:div>
      </w:divsChild>
    </w:div>
    <w:div w:id="854879822">
      <w:bodyDiv w:val="1"/>
      <w:marLeft w:val="0"/>
      <w:marRight w:val="0"/>
      <w:marTop w:val="0"/>
      <w:marBottom w:val="0"/>
      <w:divBdr>
        <w:top w:val="none" w:sz="0" w:space="0" w:color="auto"/>
        <w:left w:val="none" w:sz="0" w:space="0" w:color="auto"/>
        <w:bottom w:val="none" w:sz="0" w:space="0" w:color="auto"/>
        <w:right w:val="none" w:sz="0" w:space="0" w:color="auto"/>
      </w:divBdr>
    </w:div>
    <w:div w:id="1043408528">
      <w:bodyDiv w:val="1"/>
      <w:marLeft w:val="0"/>
      <w:marRight w:val="0"/>
      <w:marTop w:val="0"/>
      <w:marBottom w:val="0"/>
      <w:divBdr>
        <w:top w:val="none" w:sz="0" w:space="0" w:color="auto"/>
        <w:left w:val="none" w:sz="0" w:space="0" w:color="auto"/>
        <w:bottom w:val="none" w:sz="0" w:space="0" w:color="auto"/>
        <w:right w:val="none" w:sz="0" w:space="0" w:color="auto"/>
      </w:divBdr>
    </w:div>
    <w:div w:id="1497191196">
      <w:bodyDiv w:val="1"/>
      <w:marLeft w:val="0"/>
      <w:marRight w:val="0"/>
      <w:marTop w:val="0"/>
      <w:marBottom w:val="0"/>
      <w:divBdr>
        <w:top w:val="none" w:sz="0" w:space="0" w:color="auto"/>
        <w:left w:val="none" w:sz="0" w:space="0" w:color="auto"/>
        <w:bottom w:val="none" w:sz="0" w:space="0" w:color="auto"/>
        <w:right w:val="none" w:sz="0" w:space="0" w:color="auto"/>
      </w:divBdr>
      <w:divsChild>
        <w:div w:id="24643703">
          <w:marLeft w:val="0"/>
          <w:marRight w:val="0"/>
          <w:marTop w:val="0"/>
          <w:marBottom w:val="0"/>
          <w:divBdr>
            <w:top w:val="none" w:sz="0" w:space="0" w:color="auto"/>
            <w:left w:val="none" w:sz="0" w:space="0" w:color="auto"/>
            <w:bottom w:val="none" w:sz="0" w:space="0" w:color="auto"/>
            <w:right w:val="none" w:sz="0" w:space="0" w:color="auto"/>
          </w:divBdr>
          <w:divsChild>
            <w:div w:id="2102872886">
              <w:marLeft w:val="0"/>
              <w:marRight w:val="0"/>
              <w:marTop w:val="0"/>
              <w:marBottom w:val="0"/>
              <w:divBdr>
                <w:top w:val="none" w:sz="0" w:space="0" w:color="auto"/>
                <w:left w:val="none" w:sz="0" w:space="0" w:color="auto"/>
                <w:bottom w:val="none" w:sz="0" w:space="0" w:color="auto"/>
                <w:right w:val="none" w:sz="0" w:space="0" w:color="auto"/>
              </w:divBdr>
              <w:divsChild>
                <w:div w:id="79837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994927">
      <w:bodyDiv w:val="1"/>
      <w:marLeft w:val="0"/>
      <w:marRight w:val="0"/>
      <w:marTop w:val="0"/>
      <w:marBottom w:val="0"/>
      <w:divBdr>
        <w:top w:val="none" w:sz="0" w:space="0" w:color="auto"/>
        <w:left w:val="none" w:sz="0" w:space="0" w:color="auto"/>
        <w:bottom w:val="none" w:sz="0" w:space="0" w:color="auto"/>
        <w:right w:val="none" w:sz="0" w:space="0" w:color="auto"/>
      </w:divBdr>
    </w:div>
    <w:div w:id="1647511844">
      <w:bodyDiv w:val="1"/>
      <w:marLeft w:val="0"/>
      <w:marRight w:val="0"/>
      <w:marTop w:val="0"/>
      <w:marBottom w:val="0"/>
      <w:divBdr>
        <w:top w:val="none" w:sz="0" w:space="0" w:color="auto"/>
        <w:left w:val="none" w:sz="0" w:space="0" w:color="auto"/>
        <w:bottom w:val="none" w:sz="0" w:space="0" w:color="auto"/>
        <w:right w:val="none" w:sz="0" w:space="0" w:color="auto"/>
      </w:divBdr>
    </w:div>
    <w:div w:id="1666009413">
      <w:bodyDiv w:val="1"/>
      <w:marLeft w:val="0"/>
      <w:marRight w:val="0"/>
      <w:marTop w:val="0"/>
      <w:marBottom w:val="0"/>
      <w:divBdr>
        <w:top w:val="none" w:sz="0" w:space="0" w:color="auto"/>
        <w:left w:val="none" w:sz="0" w:space="0" w:color="auto"/>
        <w:bottom w:val="none" w:sz="0" w:space="0" w:color="auto"/>
        <w:right w:val="none" w:sz="0" w:space="0" w:color="auto"/>
      </w:divBdr>
    </w:div>
    <w:div w:id="1730881543">
      <w:bodyDiv w:val="1"/>
      <w:marLeft w:val="0"/>
      <w:marRight w:val="0"/>
      <w:marTop w:val="0"/>
      <w:marBottom w:val="0"/>
      <w:divBdr>
        <w:top w:val="none" w:sz="0" w:space="0" w:color="auto"/>
        <w:left w:val="none" w:sz="0" w:space="0" w:color="auto"/>
        <w:bottom w:val="none" w:sz="0" w:space="0" w:color="auto"/>
        <w:right w:val="none" w:sz="0" w:space="0" w:color="auto"/>
      </w:divBdr>
    </w:div>
    <w:div w:id="1828814153">
      <w:bodyDiv w:val="1"/>
      <w:marLeft w:val="0"/>
      <w:marRight w:val="0"/>
      <w:marTop w:val="0"/>
      <w:marBottom w:val="0"/>
      <w:divBdr>
        <w:top w:val="none" w:sz="0" w:space="0" w:color="auto"/>
        <w:left w:val="none" w:sz="0" w:space="0" w:color="auto"/>
        <w:bottom w:val="none" w:sz="0" w:space="0" w:color="auto"/>
        <w:right w:val="none" w:sz="0" w:space="0" w:color="auto"/>
      </w:divBdr>
    </w:div>
    <w:div w:id="1844005703">
      <w:bodyDiv w:val="1"/>
      <w:marLeft w:val="0"/>
      <w:marRight w:val="0"/>
      <w:marTop w:val="0"/>
      <w:marBottom w:val="0"/>
      <w:divBdr>
        <w:top w:val="none" w:sz="0" w:space="0" w:color="auto"/>
        <w:left w:val="none" w:sz="0" w:space="0" w:color="auto"/>
        <w:bottom w:val="none" w:sz="0" w:space="0" w:color="auto"/>
        <w:right w:val="none" w:sz="0" w:space="0" w:color="auto"/>
      </w:divBdr>
    </w:div>
    <w:div w:id="1849058538">
      <w:bodyDiv w:val="1"/>
      <w:marLeft w:val="0"/>
      <w:marRight w:val="0"/>
      <w:marTop w:val="0"/>
      <w:marBottom w:val="0"/>
      <w:divBdr>
        <w:top w:val="none" w:sz="0" w:space="0" w:color="auto"/>
        <w:left w:val="none" w:sz="0" w:space="0" w:color="auto"/>
        <w:bottom w:val="none" w:sz="0" w:space="0" w:color="auto"/>
        <w:right w:val="none" w:sz="0" w:space="0" w:color="auto"/>
      </w:divBdr>
      <w:divsChild>
        <w:div w:id="2144420200">
          <w:marLeft w:val="0"/>
          <w:marRight w:val="0"/>
          <w:marTop w:val="0"/>
          <w:marBottom w:val="0"/>
          <w:divBdr>
            <w:top w:val="none" w:sz="0" w:space="0" w:color="auto"/>
            <w:left w:val="none" w:sz="0" w:space="0" w:color="auto"/>
            <w:bottom w:val="none" w:sz="0" w:space="0" w:color="auto"/>
            <w:right w:val="none" w:sz="0" w:space="0" w:color="auto"/>
          </w:divBdr>
        </w:div>
        <w:div w:id="1534995852">
          <w:marLeft w:val="0"/>
          <w:marRight w:val="0"/>
          <w:marTop w:val="0"/>
          <w:marBottom w:val="0"/>
          <w:divBdr>
            <w:top w:val="none" w:sz="0" w:space="0" w:color="auto"/>
            <w:left w:val="none" w:sz="0" w:space="0" w:color="auto"/>
            <w:bottom w:val="none" w:sz="0" w:space="0" w:color="auto"/>
            <w:right w:val="none" w:sz="0" w:space="0" w:color="auto"/>
          </w:divBdr>
        </w:div>
        <w:div w:id="1725567222">
          <w:marLeft w:val="0"/>
          <w:marRight w:val="0"/>
          <w:marTop w:val="0"/>
          <w:marBottom w:val="0"/>
          <w:divBdr>
            <w:top w:val="none" w:sz="0" w:space="0" w:color="auto"/>
            <w:left w:val="none" w:sz="0" w:space="0" w:color="auto"/>
            <w:bottom w:val="none" w:sz="0" w:space="0" w:color="auto"/>
            <w:right w:val="none" w:sz="0" w:space="0" w:color="auto"/>
          </w:divBdr>
        </w:div>
      </w:divsChild>
    </w:div>
    <w:div w:id="1892614775">
      <w:bodyDiv w:val="1"/>
      <w:marLeft w:val="0"/>
      <w:marRight w:val="0"/>
      <w:marTop w:val="0"/>
      <w:marBottom w:val="0"/>
      <w:divBdr>
        <w:top w:val="none" w:sz="0" w:space="0" w:color="auto"/>
        <w:left w:val="none" w:sz="0" w:space="0" w:color="auto"/>
        <w:bottom w:val="none" w:sz="0" w:space="0" w:color="auto"/>
        <w:right w:val="none" w:sz="0" w:space="0" w:color="auto"/>
      </w:divBdr>
      <w:divsChild>
        <w:div w:id="659235434">
          <w:marLeft w:val="0"/>
          <w:marRight w:val="0"/>
          <w:marTop w:val="0"/>
          <w:marBottom w:val="0"/>
          <w:divBdr>
            <w:top w:val="none" w:sz="0" w:space="0" w:color="auto"/>
            <w:left w:val="none" w:sz="0" w:space="0" w:color="auto"/>
            <w:bottom w:val="none" w:sz="0" w:space="0" w:color="auto"/>
            <w:right w:val="none" w:sz="0" w:space="0" w:color="auto"/>
          </w:divBdr>
        </w:div>
        <w:div w:id="1459375096">
          <w:marLeft w:val="0"/>
          <w:marRight w:val="0"/>
          <w:marTop w:val="0"/>
          <w:marBottom w:val="0"/>
          <w:divBdr>
            <w:top w:val="none" w:sz="0" w:space="0" w:color="auto"/>
            <w:left w:val="none" w:sz="0" w:space="0" w:color="auto"/>
            <w:bottom w:val="none" w:sz="0" w:space="0" w:color="auto"/>
            <w:right w:val="none" w:sz="0" w:space="0" w:color="auto"/>
          </w:divBdr>
        </w:div>
        <w:div w:id="200096418">
          <w:marLeft w:val="0"/>
          <w:marRight w:val="0"/>
          <w:marTop w:val="0"/>
          <w:marBottom w:val="0"/>
          <w:divBdr>
            <w:top w:val="none" w:sz="0" w:space="0" w:color="auto"/>
            <w:left w:val="none" w:sz="0" w:space="0" w:color="auto"/>
            <w:bottom w:val="none" w:sz="0" w:space="0" w:color="auto"/>
            <w:right w:val="none" w:sz="0" w:space="0" w:color="auto"/>
          </w:divBdr>
        </w:div>
        <w:div w:id="1879272541">
          <w:marLeft w:val="0"/>
          <w:marRight w:val="0"/>
          <w:marTop w:val="0"/>
          <w:marBottom w:val="0"/>
          <w:divBdr>
            <w:top w:val="none" w:sz="0" w:space="0" w:color="auto"/>
            <w:left w:val="none" w:sz="0" w:space="0" w:color="auto"/>
            <w:bottom w:val="none" w:sz="0" w:space="0" w:color="auto"/>
            <w:right w:val="none" w:sz="0" w:space="0" w:color="auto"/>
          </w:divBdr>
        </w:div>
        <w:div w:id="1268580494">
          <w:marLeft w:val="0"/>
          <w:marRight w:val="0"/>
          <w:marTop w:val="0"/>
          <w:marBottom w:val="0"/>
          <w:divBdr>
            <w:top w:val="none" w:sz="0" w:space="0" w:color="auto"/>
            <w:left w:val="none" w:sz="0" w:space="0" w:color="auto"/>
            <w:bottom w:val="none" w:sz="0" w:space="0" w:color="auto"/>
            <w:right w:val="none" w:sz="0" w:space="0" w:color="auto"/>
          </w:divBdr>
        </w:div>
        <w:div w:id="1368489151">
          <w:marLeft w:val="0"/>
          <w:marRight w:val="0"/>
          <w:marTop w:val="0"/>
          <w:marBottom w:val="0"/>
          <w:divBdr>
            <w:top w:val="none" w:sz="0" w:space="0" w:color="auto"/>
            <w:left w:val="none" w:sz="0" w:space="0" w:color="auto"/>
            <w:bottom w:val="none" w:sz="0" w:space="0" w:color="auto"/>
            <w:right w:val="none" w:sz="0" w:space="0" w:color="auto"/>
          </w:divBdr>
        </w:div>
        <w:div w:id="1166940562">
          <w:marLeft w:val="0"/>
          <w:marRight w:val="0"/>
          <w:marTop w:val="0"/>
          <w:marBottom w:val="0"/>
          <w:divBdr>
            <w:top w:val="none" w:sz="0" w:space="0" w:color="auto"/>
            <w:left w:val="none" w:sz="0" w:space="0" w:color="auto"/>
            <w:bottom w:val="none" w:sz="0" w:space="0" w:color="auto"/>
            <w:right w:val="none" w:sz="0" w:space="0" w:color="auto"/>
          </w:divBdr>
        </w:div>
        <w:div w:id="274756724">
          <w:marLeft w:val="0"/>
          <w:marRight w:val="0"/>
          <w:marTop w:val="0"/>
          <w:marBottom w:val="0"/>
          <w:divBdr>
            <w:top w:val="none" w:sz="0" w:space="0" w:color="auto"/>
            <w:left w:val="none" w:sz="0" w:space="0" w:color="auto"/>
            <w:bottom w:val="none" w:sz="0" w:space="0" w:color="auto"/>
            <w:right w:val="none" w:sz="0" w:space="0" w:color="auto"/>
          </w:divBdr>
        </w:div>
        <w:div w:id="1111317281">
          <w:marLeft w:val="0"/>
          <w:marRight w:val="0"/>
          <w:marTop w:val="0"/>
          <w:marBottom w:val="0"/>
          <w:divBdr>
            <w:top w:val="none" w:sz="0" w:space="0" w:color="auto"/>
            <w:left w:val="none" w:sz="0" w:space="0" w:color="auto"/>
            <w:bottom w:val="none" w:sz="0" w:space="0" w:color="auto"/>
            <w:right w:val="none" w:sz="0" w:space="0" w:color="auto"/>
          </w:divBdr>
        </w:div>
        <w:div w:id="497115215">
          <w:marLeft w:val="0"/>
          <w:marRight w:val="0"/>
          <w:marTop w:val="0"/>
          <w:marBottom w:val="0"/>
          <w:divBdr>
            <w:top w:val="none" w:sz="0" w:space="0" w:color="auto"/>
            <w:left w:val="none" w:sz="0" w:space="0" w:color="auto"/>
            <w:bottom w:val="none" w:sz="0" w:space="0" w:color="auto"/>
            <w:right w:val="none" w:sz="0" w:space="0" w:color="auto"/>
          </w:divBdr>
        </w:div>
        <w:div w:id="1698656784">
          <w:marLeft w:val="0"/>
          <w:marRight w:val="0"/>
          <w:marTop w:val="0"/>
          <w:marBottom w:val="0"/>
          <w:divBdr>
            <w:top w:val="none" w:sz="0" w:space="0" w:color="auto"/>
            <w:left w:val="none" w:sz="0" w:space="0" w:color="auto"/>
            <w:bottom w:val="none" w:sz="0" w:space="0" w:color="auto"/>
            <w:right w:val="none" w:sz="0" w:space="0" w:color="auto"/>
          </w:divBdr>
        </w:div>
      </w:divsChild>
    </w:div>
    <w:div w:id="2025396281">
      <w:bodyDiv w:val="1"/>
      <w:marLeft w:val="0"/>
      <w:marRight w:val="0"/>
      <w:marTop w:val="0"/>
      <w:marBottom w:val="0"/>
      <w:divBdr>
        <w:top w:val="none" w:sz="0" w:space="0" w:color="auto"/>
        <w:left w:val="none" w:sz="0" w:space="0" w:color="auto"/>
        <w:bottom w:val="none" w:sz="0" w:space="0" w:color="auto"/>
        <w:right w:val="none" w:sz="0" w:space="0" w:color="auto"/>
      </w:divBdr>
    </w:div>
    <w:div w:id="2025672437">
      <w:bodyDiv w:val="1"/>
      <w:marLeft w:val="0"/>
      <w:marRight w:val="0"/>
      <w:marTop w:val="0"/>
      <w:marBottom w:val="0"/>
      <w:divBdr>
        <w:top w:val="none" w:sz="0" w:space="0" w:color="auto"/>
        <w:left w:val="none" w:sz="0" w:space="0" w:color="auto"/>
        <w:bottom w:val="none" w:sz="0" w:space="0" w:color="auto"/>
        <w:right w:val="none" w:sz="0" w:space="0" w:color="auto"/>
      </w:divBdr>
    </w:div>
    <w:div w:id="21246849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eader" Target="header3.xml"/><Relationship Id="rId39"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0.png"/><Relationship Id="rId34" Type="http://schemas.openxmlformats.org/officeDocument/2006/relationships/header" Target="header5.xml"/><Relationship Id="rId42" Type="http://schemas.openxmlformats.org/officeDocument/2006/relationships/image" Target="media/image110.png"/><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70.png"/><Relationship Id="rId33" Type="http://schemas.openxmlformats.org/officeDocument/2006/relationships/hyperlink" Target="http://www.seafish.org/media/921067/2013.07.23_project_inshore_s2_v5.pdf" TargetMode="External"/><Relationship Id="rId38" Type="http://schemas.openxmlformats.org/officeDocument/2006/relationships/image" Target="media/image90.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0.png"/><Relationship Id="rId29" Type="http://schemas.openxmlformats.org/officeDocument/2006/relationships/hyperlink" Target="http://www.acrunet.eu/"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60.png"/><Relationship Id="rId32" Type="http://schemas.openxmlformats.org/officeDocument/2006/relationships/hyperlink" Target="https://www.google.co.uk/url?sa=t&amp;rct=j&amp;q=&amp;esrc=s&amp;source=web&amp;cd=1&amp;ved=0ahUKEwiarIOfvezQAhUsLsAKHdccDh8QFggaMAA&amp;url=http%3A%2F%2Fwww.seafish.org.uk%2Frass%2F&amp;usg=AFQjCNH1gj13x9s3rtFC2cdUdbYYAZGEMQ&amp;sig2=8QzM20LP_44IrD7Ont_08A&amp;bvm=bv.141320020,d.ZGg&amp;cad=rja" TargetMode="External"/><Relationship Id="rId37" Type="http://schemas.openxmlformats.org/officeDocument/2006/relationships/image" Target="media/image80.emf"/><Relationship Id="rId40" Type="http://schemas.openxmlformats.org/officeDocument/2006/relationships/image" Target="media/image100.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header" Target="header4.xml"/><Relationship Id="rId36"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yperlink" Target="https://www.google.co.uk/url?sa=t&amp;rct=j&amp;q=&amp;esrc=s&amp;source=web&amp;cd=1&amp;ved=0ahUKEwiarIOfvezQAhUsLsAKHdccDh8QFggaMAA&amp;url=http%3A%2F%2Fwww.seafish.org.uk%2Frass%2F&amp;usg=AFQjCNH1gj13x9s3rtFC2cdUdbYYAZGEMQ&amp;sig2=8QzM20LP_44IrD7Ont_08A&amp;bvm=bv.141320020,d.ZGg&amp;cad=rja"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hyperlink" Target="http://www.jncc.gov.uk/_speciespages/2482.pdf" TargetMode="External"/><Relationship Id="rId30" Type="http://schemas.openxmlformats.org/officeDocument/2006/relationships/hyperlink" Target="http://www.shellfish.org.uk/files/Conferences/Pre-2010/the_inshore_potting_agreement_a_model_for_inshore_management_sagb_conference_2003.pdf" TargetMode="External"/><Relationship Id="rId35" Type="http://schemas.openxmlformats.org/officeDocument/2006/relationships/image" Target="media/image8.emf"/><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seafish.org/industry-support/fishing/project-inshore/project-reports/stage-two-reports" TargetMode="External"/><Relationship Id="rId2" Type="http://schemas.openxmlformats.org/officeDocument/2006/relationships/hyperlink" Target="https://www.msc.org/documents/scheme-documents/fisheries-certification-scheme-documents/fisheries-certification-scheme-documents" TargetMode="External"/><Relationship Id="rId1" Type="http://schemas.openxmlformats.org/officeDocument/2006/relationships/hyperlink" Target="http://www.seafish.org/industry-support/fishing/project-inshore" TargetMode="External"/><Relationship Id="rId4" Type="http://schemas.openxmlformats.org/officeDocument/2006/relationships/hyperlink" Target="http://msc.solidproject.co.uk/msc-project-inshore.asp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Seafish Open Document" ma:contentTypeID="0x010100FBC0F8BFD01A91498CA7837A71EEDFDB0100D8D74AD133DD5E4C9488BA264812959E" ma:contentTypeVersion="30" ma:contentTypeDescription="Seafish Open Document Content Type" ma:contentTypeScope="" ma:versionID="6cf6eeec6f8d0b88530e7c73574e6803">
  <xsd:schema xmlns:xsd="http://www.w3.org/2001/XMLSchema" xmlns:xs="http://www.w3.org/2001/XMLSchema" xmlns:p="http://schemas.microsoft.com/office/2006/metadata/properties" xmlns:ns2="cebd32e3-9ab6-41ee-b1af-b8405a8d4e68" xmlns:ns3="d4c1e97c-7a75-4aca-9712-5efb9ef450ab" targetNamespace="http://schemas.microsoft.com/office/2006/metadata/properties" ma:root="true" ma:fieldsID="c7adf362057f3fbfeab303a81cf00593" ns2:_="" ns3:_="">
    <xsd:import namespace="cebd32e3-9ab6-41ee-b1af-b8405a8d4e68"/>
    <xsd:import namespace="d4c1e97c-7a75-4aca-9712-5efb9ef450ab"/>
    <xsd:element name="properties">
      <xsd:complexType>
        <xsd:sequence>
          <xsd:element name="documentManagement">
            <xsd:complexType>
              <xsd:all>
                <xsd:element ref="ns2:PublicationDate"/>
                <xsd:element ref="ns2:DocumentSummary"/>
                <xsd:element ref="ns2:DocumentTopic" minOccurs="0"/>
                <xsd:element ref="ns2:DocumentAuthors" minOccurs="0"/>
                <xsd:element ref="ns2:MediaFormatOld" minOccurs="0"/>
                <xsd:element ref="ns2:PublicationRefNo" minOccurs="0"/>
                <xsd:element ref="ns2:ISBN" minOccurs="0"/>
                <xsd:element ref="ns2:LegacyId" minOccurs="0"/>
                <xsd:element ref="ns2:PubMonth" minOccurs="0"/>
                <xsd:element ref="ns2:PubYear" minOccurs="0"/>
                <xsd:element ref="ns2:MediaFormat" minOccurs="0"/>
                <xsd:element ref="ns2:DocumentAdded"/>
                <xsd:element ref="ns2:DocumentStatus"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bd32e3-9ab6-41ee-b1af-b8405a8d4e68" elementFormDefault="qualified">
    <xsd:import namespace="http://schemas.microsoft.com/office/2006/documentManagement/types"/>
    <xsd:import namespace="http://schemas.microsoft.com/office/infopath/2007/PartnerControls"/>
    <xsd:element name="PublicationDate" ma:index="2" ma:displayName="Publication Date" ma:format="DateOnly" ma:internalName="PublicationDate">
      <xsd:simpleType>
        <xsd:restriction base="dms:DateTime"/>
      </xsd:simpleType>
    </xsd:element>
    <xsd:element name="DocumentSummary" ma:index="3" ma:displayName="Summary" ma:internalName="DocumentSummary" ma:readOnly="false">
      <xsd:simpleType>
        <xsd:restriction base="dms:Note">
          <xsd:maxLength value="255"/>
        </xsd:restriction>
      </xsd:simpleType>
    </xsd:element>
    <xsd:element name="DocumentTopic" ma:index="5" nillable="true" ma:displayName="Topic" ma:default="" ma:internalName="DocumentTopic">
      <xsd:complexType>
        <xsd:complexContent>
          <xsd:extension base="dms:MultiChoice">
            <xsd:sequence>
              <xsd:element name="Value" maxOccurs="unbounded" minOccurs="0" nillable="true">
                <xsd:simpleType>
                  <xsd:restriction base="dms:Choice">
                    <xsd:enumeration value="Technical Report"/>
                    <xsd:enumeration value="Factsheet/Datasheet"/>
                    <xsd:enumeration value="Corporate Document"/>
                    <xsd:enumeration value="Guidelines"/>
                    <xsd:enumeration value="Marine Survey"/>
                    <xsd:enumeration value="Training Material"/>
                    <xsd:enumeration value="Careers"/>
                    <xsd:enumeration value="Economics and Business"/>
                    <xsd:enumeration value="Aquaculture"/>
                    <xsd:enumeration value="IPF Final Reports"/>
                    <xsd:enumeration value="Other"/>
                    <xsd:enumeration value="Not known"/>
                    <xsd:enumeration value="Internal Seafish Report"/>
                    <xsd:enumeration value="Confidential Seafish Report"/>
                    <xsd:enumeration value="Seafood Guide"/>
                    <xsd:enumeration value=".Web-About Seafish"/>
                    <xsd:enumeration value=".Web-Changing Landscapes"/>
                    <xsd:enumeration value=".Web-Promoting Seafood"/>
                    <xsd:enumeration value=".Web-Responsible Sourcing"/>
                    <xsd:enumeration value=".Web-Safety and Training"/>
                    <xsd:enumeration value=".Web-Insight and Research"/>
                  </xsd:restriction>
                </xsd:simpleType>
              </xsd:element>
            </xsd:sequence>
          </xsd:extension>
        </xsd:complexContent>
      </xsd:complexType>
    </xsd:element>
    <xsd:element name="DocumentAuthors" ma:index="6" nillable="true" ma:displayName="Authors" ma:internalName="DocumentAuthors">
      <xsd:complexType>
        <xsd:complexContent>
          <xsd:extension base="dms:MultiChoice">
            <xsd:sequence>
              <xsd:element name="Value" maxOccurs="unbounded" minOccurs="0" nillable="true">
                <xsd:simpleType>
                  <xsd:restriction base="dms:Choice">
                    <xsd:enumeration value="A. Justel-Rubio"/>
                    <xsd:enumeration value="A. Lucchetti"/>
                    <xsd:enumeration value="A. Sala"/>
                    <xsd:enumeration value="A.Adams"/>
                    <xsd:enumeration value="A.B"/>
                    <xsd:enumeration value="A.Bent"/>
                    <xsd:enumeration value="A.Brown"/>
                    <xsd:enumeration value="A.C.C"/>
                    <xsd:enumeration value="A.Campbell"/>
                    <xsd:enumeration value="A.Chau"/>
                    <xsd:enumeration value="A.Copeland"/>
                    <xsd:enumeration value="A.Corcoran"/>
                    <xsd:enumeration value="A.Coutts"/>
                    <xsd:enumeration value="A.Dean"/>
                    <xsd:enumeration value="A.G.Hopper"/>
                    <xsd:enumeration value="A.Garthwaite"/>
                    <xsd:enumeration value="A.Grant"/>
                    <xsd:enumeration value="A.Hewer"/>
                    <xsd:enumeration value="A.J.Courtney"/>
                    <xsd:enumeration value="A.J.Dean"/>
                    <xsd:enumeration value="A.Kenny"/>
                    <xsd:enumeration value="A.Martin"/>
                    <xsd:enumeration value="A.Mills"/>
                    <xsd:enumeration value="A.Moody"/>
                    <xsd:enumeration value="A.Nicholson"/>
                    <xsd:enumeration value="A.P.Woolmer"/>
                    <xsd:enumeration value="A.R"/>
                    <xsd:enumeration value="A.Revill"/>
                    <xsd:enumeration value="A.S"/>
                    <xsd:enumeration value="A.Santos"/>
                    <xsd:enumeration value="A.Searle"/>
                    <xsd:enumeration value="A.Smith"/>
                    <xsd:enumeration value="A.Steel"/>
                    <xsd:enumeration value="A.Strickland"/>
                    <xsd:enumeration value="A.Thompson"/>
                    <xsd:enumeration value="A.Wilson"/>
                    <xsd:enumeration value="A.Woolmer"/>
                    <xsd:enumeration value="A.Younger"/>
                    <xsd:enumeration value="A.Younger"/>
                    <xsd:enumeration value="Acoura"/>
                    <xsd:enumeration value="Adam Brown"/>
                    <xsd:enumeration value="ADAS"/>
                    <xsd:enumeration value="ADAS Environment"/>
                    <xsd:enumeration value="AFBI"/>
                    <xsd:enumeration value="AGH"/>
                    <xsd:enumeration value="Agri Food and Biosciences Institute"/>
                    <xsd:enumeration value="Alan Dean"/>
                    <xsd:enumeration value="Alan Hayes"/>
                    <xsd:enumeration value="Alex Caveen"/>
                    <xsd:enumeration value="Alexander Schofield"/>
                    <xsd:enumeration value="Alison Austin"/>
                    <xsd:enumeration value="Ana Justel-Rubio"/>
                    <xsd:enumeration value="Ana Witteveen"/>
                    <xsd:enumeration value="Andrew FitzGerald"/>
                    <xsd:enumeration value="ANIFOP"/>
                    <xsd:enumeration value="Anne Cameron"/>
                    <xsd:enumeration value="Anne Wallace"/>
                    <xsd:enumeration value="Anne-Margaret Stewart"/>
                    <xsd:enumeration value="Aquafish Solutions Ltd."/>
                    <xsd:enumeration value="Aquatic Water Services Ltd."/>
                    <xsd:enumeration value="Ardtoe"/>
                    <xsd:enumeration value="Arina Motova"/>
                    <xsd:enumeration value="ASSG"/>
                    <xsd:enumeration value="Association of Port Health Authorities"/>
                    <xsd:enumeration value="Association of Public Analy"/>
                    <xsd:enumeration value="ATM"/>
                    <xsd:enumeration value="B.A"/>
                    <xsd:enumeration value="B.Ashcroft"/>
                    <xsd:enumeration value="B.Greenwood"/>
                    <xsd:enumeration value="B.H"/>
                    <xsd:enumeration value="B.Hughes"/>
                    <xsd:enumeration value="B.Mounce"/>
                    <xsd:enumeration value="B.Scannell"/>
                    <xsd:enumeration value="B.Thain"/>
                    <xsd:enumeration value="B.van Marlen"/>
                    <xsd:enumeration value="B.Wilson"/>
                    <xsd:enumeration value="BFFF"/>
                    <xsd:enumeration value="BHA"/>
                    <xsd:enumeration value="BIM Irish Sea Fisheries Board"/>
                    <xsd:enumeration value="Brahm Insight"/>
                    <xsd:enumeration value="BRC"/>
                    <xsd:enumeration value="British Marine Finfish Association"/>
                    <xsd:enumeration value="Bryony Townhill (Marine Climate Change Impacts Partnership)"/>
                    <xsd:enumeration value="C. Burton"/>
                    <xsd:enumeration value="C.A.Burton"/>
                    <xsd:enumeration value="C.A.Goudey"/>
                    <xsd:enumeration value="C.B"/>
                    <xsd:enumeration value="C.Baker"/>
                    <xsd:enumeration value="C.Brady"/>
                    <xsd:enumeration value="C.C"/>
                    <xsd:enumeration value="C.Carlton"/>
                    <xsd:enumeration value="C.Curr"/>
                    <xsd:enumeration value="C.Cutts"/>
                    <xsd:enumeration value="C.Daniels"/>
                    <xsd:enumeration value="C.E.P.Watson"/>
                    <xsd:enumeration value="C.E.Tucker"/>
                    <xsd:enumeration value="C.F.Jackson"/>
                    <xsd:enumeration value="C.Filippopoulos"/>
                    <xsd:enumeration value="C.Ford"/>
                    <xsd:enumeration value="C.G.S.W"/>
                    <xsd:enumeration value="C.H.Davies"/>
                    <xsd:enumeration value="C.J Cutts"/>
                    <xsd:enumeration value="C.J. Chapman"/>
                    <xsd:enumeration value="C.J.Ellis"/>
                    <xsd:enumeration value="C.Jackson"/>
                    <xsd:enumeration value="C.Knight"/>
                    <xsd:enumeration value="C.Lacamara"/>
                    <xsd:enumeration value="C.Leadley"/>
                    <xsd:enumeration value="C.M. Fortuna"/>
                    <xsd:enumeration value="C.Mazorra de Quero"/>
                    <xsd:enumeration value="C.Nevin"/>
                    <xsd:enumeration value="C.P.Baker"/>
                    <xsd:enumeration value="C.Roberts"/>
                    <xsd:enumeration value="C.Saurel"/>
                    <xsd:enumeration value="C.T.O"/>
                    <xsd:enumeration value="C.T.W.C"/>
                    <xsd:enumeration value="C.T.W.Curr"/>
                    <xsd:enumeration value="C.Tucker"/>
                    <xsd:enumeration value="C.W"/>
                    <xsd:enumeration value="C.Wells"/>
                    <xsd:enumeration value="C.Young"/>
                    <xsd:enumeration value="CA Burton"/>
                    <xsd:enumeration value="Camborne School of Mines"/>
                    <xsd:enumeration value="Campden BRI"/>
                    <xsd:enumeration value="Candida Barbato"/>
                    <xsd:enumeration value="Cardiff Economic Research Associates Ltd"/>
                    <xsd:enumeration value="Catriona Power"/>
                    <xsd:enumeration value="CC"/>
                    <xsd:enumeration value="CCFRA"/>
                    <xsd:enumeration value="Cefas"/>
                    <xsd:enumeration value="Centre for Aquaculture and Fisheries"/>
                    <xsd:enumeration value="CEPW"/>
                    <xsd:enumeration value="CEPW"/>
                    <xsd:enumeration value="CFPO"/>
                    <xsd:enumeration value="Chao Lu"/>
                    <xsd:enumeration value="Chelonia"/>
                    <xsd:enumeration value="China Ministry of Health"/>
                    <xsd:enumeration value="Chris Barbour"/>
                    <xsd:enumeration value="Chris Kirkland"/>
                    <xsd:enumeration value="Clifford A.Goudey"/>
                    <xsd:enumeration value="Clive Monk"/>
                    <xsd:enumeration value="Colin Brodie"/>
                    <xsd:enumeration value="Craig Burton"/>
                    <xsd:enumeration value="Crick Carlton"/>
                    <xsd:enumeration value="Cristina Fernandez"/>
                    <xsd:enumeration value="Cristina Pita"/>
                    <xsd:enumeration value="D. Itano"/>
                    <xsd:enumeration value="D.A"/>
                    <xsd:enumeration value="D.A.Masson"/>
                    <xsd:enumeration value="D.Amos"/>
                    <xsd:enumeration value="D.Amos"/>
                    <xsd:enumeration value="D.Boothroyd"/>
                    <xsd:enumeration value="D.Burdon"/>
                    <xsd:enumeration value="D.Cashmore"/>
                    <xsd:enumeration value="D.Cole"/>
                    <xsd:enumeration value="D.Cook"/>
                    <xsd:enumeration value="D.E.Ballam"/>
                    <xsd:enumeration value="D.Edwards"/>
                    <xsd:enumeration value="D.Elliot"/>
                    <xsd:enumeration value="D.G"/>
                    <xsd:enumeration value="D.Gowland"/>
                    <xsd:enumeration value="D.H"/>
                    <xsd:enumeration value="D.Harrison"/>
                    <xsd:enumeration value="D.Homer"/>
                    <xsd:enumeration value="D.Hornerm"/>
                    <xsd:enumeration value="D.J.Wood"/>
                    <xsd:enumeration value="D.L"/>
                    <xsd:enumeration value="D.Marshall"/>
                    <xsd:enumeration value="D.Miles"/>
                    <xsd:enumeration value="D.Miller"/>
                    <xsd:enumeration value="D.Oakes"/>
                    <xsd:enumeration value="D.P"/>
                    <xsd:enumeration value="D.Patterson"/>
                    <xsd:enumeration value="D.Pirie"/>
                    <xsd:enumeration value="D.Robertson"/>
                    <xsd:enumeration value="D.S"/>
                    <xsd:enumeration value="D.Steel"/>
                    <xsd:enumeration value="D.Sykes"/>
                    <xsd:enumeration value="D.Symes"/>
                    <xsd:enumeration value="D.Taylor"/>
                    <xsd:enumeration value="D.Tocher"/>
                    <xsd:enumeration value="D.W"/>
                    <xsd:enumeration value="D.Wood"/>
                    <xsd:enumeration value="D.Woods"/>
                    <xsd:enumeration value="Daniel Lee"/>
                    <xsd:enumeration value="Daniel McDonald"/>
                    <xsd:enumeration value="Daragh Browne"/>
                    <xsd:enumeration value="Darren Stevenson, Legal Director at Wiggin LLP"/>
                    <xsd:enumeration value="Dave Dewick"/>
                    <xsd:enumeration value="Dave Price"/>
                    <xsd:enumeration value="David Parish"/>
                    <xsd:enumeration value="David Parker"/>
                    <xsd:enumeration value="David Russell"/>
                    <xsd:enumeration value="David Sterling"/>
                    <xsd:enumeration value="Dawby"/>
                    <xsd:enumeration value="Dawn Sneddon"/>
                    <xsd:enumeration value="Dean Millar"/>
                    <xsd:enumeration value="Defra"/>
                    <xsd:enumeration value="DIFRES"/>
                    <xsd:enumeration value="DIFTA"/>
                    <xsd:enumeration value="DIFTA Denmark"/>
                    <xsd:enumeration value="DoH"/>
                    <xsd:enumeration value="Doug McLeod"/>
                    <xsd:enumeration value="Dr B. McAdam (Stirling University)"/>
                    <xsd:enumeration value="Dr J. Harman"/>
                    <xsd:enumeration value="Dr J. Pinnegar (CEFAS"/>
                    <xsd:enumeration value="Dr L. Falconer"/>
                    <xsd:enumeration value="Dr Stewart Brown (Stewart Brown Associates Ltd)"/>
                    <xsd:enumeration value="Dr T. Telfer"/>
                    <xsd:enumeration value="Dr Tom Pickerell (Tomolamola Consulting Ltd)"/>
                    <xsd:enumeration value="Dr. A.R.Hearn"/>
                    <xsd:enumeration value="Dr. Alan Heyworth"/>
                    <xsd:enumeration value="Dr. Alex Caveen"/>
                    <xsd:enumeration value="Dr. Andrew Jackson"/>
                    <xsd:enumeration value="Dr. Andrew Woolmer"/>
                    <xsd:enumeration value="Dr. Andy Revill"/>
                    <xsd:enumeration value="Dr. Angus Garrett"/>
                    <xsd:enumeration value="Dr. Annika Clements"/>
                    <xsd:enumeration value="Dr. Bill Roy"/>
                    <xsd:enumeration value="Dr. D.Robertson"/>
                    <xsd:enumeration value="Dr. E.Fossey"/>
                    <xsd:enumeration value="Dr. Edwards"/>
                    <xsd:enumeration value="Dr. Eric Edwards"/>
                    <xsd:enumeration value="Dr. Francis Murray"/>
                    <xsd:enumeration value="Dr. Hilmar Hinz"/>
                    <xsd:enumeration value="Dr. I.T.Mentjes"/>
                    <xsd:enumeration value="Dr. J.Sheperd"/>
                    <xsd:enumeration value="Dr. James Bron"/>
                    <xsd:enumeration value="Dr. James Treasurer"/>
                    <xsd:enumeration value="Dr. Jan G.Hiddink"/>
                    <xsd:enumeration value="Dr. Jim Treasurer, Dr T Atack"/>
                    <xsd:enumeration value="Dr. John Pinnegar"/>
                    <xsd:enumeration value="Dr. Jon Harman"/>
                    <xsd:enumeration value="Dr. M.Mühling"/>
                    <xsd:enumeration value="Dr. Matt Service"/>
                    <xsd:enumeration value="Dr. N.Lake"/>
                    <xsd:enumeration value="Dr. Rachel Burch"/>
                    <xsd:enumeration value="Dr. S.Davies"/>
                    <xsd:enumeration value="Dr. S.E.Taylor"/>
                    <xsd:enumeration value="E.Allison"/>
                    <xsd:enumeration value="E.Cochrane"/>
                    <xsd:enumeration value="E.Edwards"/>
                    <xsd:enumeration value="E.Fossey"/>
                    <xsd:enumeration value="E.Maxwell"/>
                    <xsd:enumeration value="E.Nicholls"/>
                    <xsd:enumeration value="E.W.Taylor"/>
                    <xsd:enumeration value="EA"/>
                    <xsd:enumeration value="Emi Katoh"/>
                    <xsd:enumeration value="Emma Bradshaw"/>
                    <xsd:enumeration value="Emma Brown"/>
                    <xsd:enumeration value="Emma White"/>
                    <xsd:enumeration value="Enrico Longoni"/>
                    <xsd:enumeration value="Epsom"/>
                    <xsd:enumeration value="Erik Lindebo"/>
                    <xsd:enumeration value="Eunice Pinn"/>
                    <xsd:enumeration value="Eurographic Ltd"/>
                    <xsd:enumeration value="European Food Safety Authority"/>
                    <xsd:enumeration value="F. De Carlo"/>
                    <xsd:enumeration value="F. Forget"/>
                    <xsd:enumeration value="F.Chopin"/>
                    <xsd:enumeration value="F.Dixon"/>
                    <xsd:enumeration value="F.Nimmo"/>
                    <xsd:enumeration value="Fanming Kong"/>
                    <xsd:enumeration value="FERU"/>
                    <xsd:enumeration value="FHF"/>
                    <xsd:enumeration value="Fiona Birch"/>
                    <xsd:enumeration value="Fiona Wright"/>
                    <xsd:enumeration value="Fisheries Research Services"/>
                    <xsd:enumeration value="Fishing News"/>
                    <xsd:enumeration value="FISHupdate"/>
                    <xsd:enumeration value="FPKTN"/>
                    <xsd:enumeration value="Francis Murray"/>
                    <xsd:enumeration value="Francisco Areal"/>
                    <xsd:enumeration value="Frank Armstrong"/>
                    <xsd:enumeration value="FRM Ltd."/>
                    <xsd:enumeration value="G McAllister"/>
                    <xsd:enumeration value="G. Moreno"/>
                    <xsd:enumeration value="G.A.Garthwaite"/>
                    <xsd:enumeration value="G.A.Webb"/>
                    <xsd:enumeration value="G.Bell"/>
                    <xsd:enumeration value="G.C"/>
                    <xsd:enumeration value="G.C.E"/>
                    <xsd:enumeration value="G.Cartwright"/>
                    <xsd:enumeration value="G.Course"/>
                    <xsd:enumeration value="G.Dunlin"/>
                    <xsd:enumeration value="G.Eveillard"/>
                    <xsd:enumeration value="G.F.Jackson"/>
                    <xsd:enumeration value="G.Gough"/>
                    <xsd:enumeration value="G.Mack"/>
                    <xsd:enumeration value="G.McKay"/>
                    <xsd:enumeration value="G.McLeod"/>
                    <xsd:enumeration value="G.P.Arnold"/>
                    <xsd:enumeration value="G.P.Course"/>
                    <xsd:enumeration value="G.Ritchie"/>
                    <xsd:enumeration value="G.Salze"/>
                    <xsd:enumeration value="G.Ward"/>
                    <xsd:enumeration value="Gang Wang"/>
                    <xsd:enumeration value="Gary Dunlin"/>
                    <xsd:enumeration value="Gary Hooper"/>
                    <xsd:enumeration value="Gavin Hatton"/>
                    <xsd:enumeration value="GC"/>
                    <xsd:enumeration value="GDCL"/>
                    <xsd:enumeration value="GMAV"/>
                    <xsd:enumeration value="Gordon Goldsworthy"/>
                    <xsd:enumeration value="Gorkana Group"/>
                    <xsd:enumeration value="Graham Pierce"/>
                    <xsd:enumeration value="GREAT"/>
                    <xsd:enumeration value="Gunnar Þórðarson"/>
                    <xsd:enumeration value="H.E.Bullock"/>
                    <xsd:enumeration value="H.English"/>
                    <xsd:enumeration value="H.McDiarmid"/>
                    <xsd:enumeration value="H.Q"/>
                    <xsd:enumeration value="H.R. Day"/>
                    <xsd:enumeration value="H.R.English"/>
                    <xsd:enumeration value="H.Ritchings"/>
                    <xsd:enumeration value="H.Teepsoo"/>
                    <xsd:enumeration value="H.W"/>
                    <xsd:enumeration value="Hannah Fawcett"/>
                    <xsd:enumeration value="Hannah Shaw"/>
                    <xsd:enumeration value="Hannah Thompson"/>
                    <xsd:enumeration value="Hazel Curtis"/>
                    <xsd:enumeration value="Hazel McShane"/>
                    <xsd:enumeration value="Heat &amp; Power Ltd."/>
                    <xsd:enumeration value="Heather Forbes"/>
                    <xsd:enumeration value="Heather Middleton"/>
                    <xsd:enumeration value="Helen Duggan"/>
                    <xsd:enumeration value="Hepples"/>
                    <xsd:enumeration value="Hilmar Hinz"/>
                    <xsd:enumeration value="HQ"/>
                    <xsd:enumeration value="HRE"/>
                    <xsd:enumeration value="Humber Seafood Institute"/>
                    <xsd:enumeration value="Humberside College of Higher Education"/>
                    <xsd:enumeration value="Hunterston"/>
                    <xsd:enumeration value="I. Berrill"/>
                    <xsd:enumeration value="I.F"/>
                    <xsd:enumeration value="I.Finley"/>
                    <xsd:enumeration value="I.Graham"/>
                    <xsd:enumeration value="I.Milligan"/>
                    <xsd:enumeration value="I.Tatterson"/>
                    <xsd:enumeration value="Iain Berrill (Scottish Salmon Producers Organisation)"/>
                    <xsd:enumeration value="Ian Laing"/>
                    <xsd:enumeration value="ICF"/>
                    <xsd:enumeration value="IFREMER France"/>
                    <xsd:enumeration value="Institute of Aquaculture, University of Stirling"/>
                    <xsd:enumeration value="Institute of Estuarine &amp; Coastal Studies, University of Hull"/>
                    <xsd:enumeration value="International Council for the Exploration of the Sea"/>
                    <xsd:enumeration value="International Society for the Study of Fatty Acids and Lipids"/>
                    <xsd:enumeration value="Ivan Bartolo"/>
                    <xsd:enumeration value="J.A"/>
                    <xsd:enumeration value="J.A.Shalliker"/>
                    <xsd:enumeration value="J.A.Upfield"/>
                    <xsd:enumeration value="J.Anderson"/>
                    <xsd:enumeration value="J.B.R"/>
                    <xsd:enumeration value="J.C"/>
                    <xsd:enumeration value="J.Carrick"/>
                    <xsd:enumeration value="J.Combes"/>
                    <xsd:enumeration value="J.D. Paul"/>
                    <xsd:enumeration value="J.D. Wood"/>
                    <xsd:enumeration value="J.D.Paul"/>
                    <xsd:enumeration value="J.D.Wood"/>
                    <xsd:enumeration value="J.Dunlop"/>
                    <xsd:enumeration value="J.E.B"/>
                    <xsd:enumeration value="J.E.D"/>
                    <xsd:enumeration value="J.E.Dye"/>
                    <xsd:enumeration value="J.E.Tumilty"/>
                    <xsd:enumeration value="J.Early"/>
                    <xsd:enumeration value="J.Eddom"/>
                    <xsd:enumeration value="J.Evans"/>
                    <xsd:enumeration value="J.Foster"/>
                    <xsd:enumeration value="J.Frederickson"/>
                    <xsd:enumeration value="J.Gascoigne"/>
                    <xsd:enumeration value="J.Grant"/>
                    <xsd:enumeration value="J.Grant"/>
                    <xsd:enumeration value="J.H.Brown"/>
                    <xsd:enumeration value="J.Harman"/>
                    <xsd:enumeration value="J.Hatchard"/>
                    <xsd:enumeration value="J.L.R"/>
                    <xsd:enumeration value="J.L.Robertson"/>
                    <xsd:enumeration value="J.Lansley"/>
                    <xsd:enumeration value="J.Lart"/>
                    <xsd:enumeration value="J.Lewis"/>
                    <xsd:enumeration value="J.M"/>
                    <xsd:enumeration value="J.M.Tower"/>
                    <xsd:enumeration value="J.M.Watson"/>
                    <xsd:enumeration value="J.MacMillan"/>
                    <xsd:enumeration value="J.MacNamara"/>
                    <xsd:enumeration value="J.May"/>
                    <xsd:enumeration value="J.McMillan"/>
                    <xsd:enumeration value="J.McNamara"/>
                    <xsd:enumeration value="J.Mikolajunas"/>
                    <xsd:enumeration value="J.Moore"/>
                    <xsd:enumeration value="J.Morris"/>
                    <xsd:enumeration value="J.N.Ward"/>
                    <xsd:enumeration value="J.NcNamara"/>
                    <xsd:enumeration value="J.Paul"/>
                    <xsd:enumeration value="J.R.Dye"/>
                    <xsd:enumeration value="J.R.Gifford"/>
                    <xsd:enumeration value="J.Rice"/>
                    <xsd:enumeration value="J.Rycroft"/>
                    <xsd:enumeration value="J.S"/>
                    <xsd:enumeration value="J.S.S"/>
                    <xsd:enumeration value="J.S.Saether"/>
                    <xsd:enumeration value="J.Shalliker"/>
                    <xsd:enumeration value="J.Sherwood"/>
                    <xsd:enumeration value="J.Slater"/>
                    <xsd:enumeration value="J.Smith"/>
                    <xsd:enumeration value="J.Swarbrick"/>
                    <xsd:enumeration value="J.T"/>
                    <xsd:enumeration value="J.T.Bryson"/>
                    <xsd:enumeration value="J.T.MacMillan"/>
                    <xsd:enumeration value="J.Tower"/>
                    <xsd:enumeration value="J.Treasurer"/>
                    <xsd:enumeration value="J.Tumilty"/>
                    <xsd:enumeration value="J.Upfield"/>
                    <xsd:enumeration value="J.W"/>
                    <xsd:enumeration value="J.W"/>
                    <xsd:enumeration value="J.W.Denton"/>
                    <xsd:enumeration value="J.Waterman"/>
                    <xsd:enumeration value="J.Watson"/>
                    <xsd:enumeration value="Jack Sewell"/>
                    <xsd:enumeration value="James Warwick"/>
                    <xsd:enumeration value="Jason Combes"/>
                    <xsd:enumeration value="Jennifer Russell"/>
                    <xsd:enumeration value="Jennifer Smith"/>
                    <xsd:enumeration value="Jeremy Sparks"/>
                    <xsd:enumeration value="Jim Ellis"/>
                    <xsd:enumeration value="Jim Hyam"/>
                    <xsd:enumeration value="Joe Cooper"/>
                    <xsd:enumeration value="John Anderson"/>
                    <xsd:enumeration value="John Barrington"/>
                    <xsd:enumeration value="John Cotter"/>
                    <xsd:enumeration value="John Foster"/>
                    <xsd:enumeration value="John Hambrey"/>
                    <xsd:enumeration value="John Hingley"/>
                    <xsd:enumeration value="John Lancaster"/>
                    <xsd:enumeration value="John O.S. Kennedy"/>
                    <xsd:enumeration value="John Richardson"/>
                    <xsd:enumeration value="John Wakeford"/>
                    <xsd:enumeration value="Jonas R.Vidarsson"/>
                    <xsd:enumeration value="José L. González Vecino"/>
                    <xsd:enumeration value="JSS"/>
                    <xsd:enumeration value="Julia Brooks"/>
                    <xsd:enumeration value="Julian Swarbrick"/>
                    <xsd:enumeration value="Julie Snowden"/>
                    <xsd:enumeration value="K.Adamson"/>
                    <xsd:enumeration value="K.Anderson"/>
                    <xsd:enumeration value="K.Arkley"/>
                    <xsd:enumeration value="K.C"/>
                    <xsd:enumeration value="K.C.Munday"/>
                    <xsd:enumeration value="K.D.Thompson"/>
                    <xsd:enumeration value="K.Day"/>
                    <xsd:enumeration value="K.Dye"/>
                    <xsd:enumeration value="K.Galloway"/>
                    <xsd:enumeration value="K.Graham"/>
                    <xsd:enumeration value="K.H"/>
                    <xsd:enumeration value="K.H.Haywood"/>
                    <xsd:enumeration value="K.Hairsine"/>
                    <xsd:enumeration value="K.Knox"/>
                    <xsd:enumeration value="K.Mazik"/>
                    <xsd:enumeration value="K.Singh"/>
                    <xsd:enumeration value="K.T.H"/>
                    <xsd:enumeration value="K.T.Howard"/>
                    <xsd:enumeration value="K.Tsontos"/>
                    <xsd:enumeration value="K.Waind"/>
                    <xsd:enumeration value="Karen Galloway"/>
                    <xsd:enumeration value="Karen Green"/>
                    <xsd:enumeration value="Karin Lüdemann/Wissenschaftsbüro"/>
                    <xsd:enumeration value="Kasia Kazimierczak"/>
                    <xsd:enumeration value="Kath Floater"/>
                    <xsd:enumeration value="Keith Hiscock"/>
                    <xsd:enumeration value="Keith Jeffrey"/>
                    <xsd:enumeration value="Ken Arkley"/>
                    <xsd:enumeration value="Kieran Westbrook"/>
                    <xsd:enumeration value="Kimberly Cullen"/>
                    <xsd:enumeration value="Kingfisher Information Services"/>
                    <xsd:enumeration value="Kirsten Milliken"/>
                    <xsd:enumeration value="KPMG AS"/>
                    <xsd:enumeration value="L Ridley"/>
                    <xsd:enumeration value="L. Dagorn"/>
                    <xsd:enumeration value="L.C.Ford"/>
                    <xsd:enumeration value="L.E.Hull"/>
                    <xsd:enumeration value="L.Ford"/>
                    <xsd:enumeration value="L.Hinchliff"/>
                    <xsd:enumeration value="L.Oxley"/>
                    <xsd:enumeration value="L.Pell"/>
                    <xsd:enumeration value="L.Readdy"/>
                    <xsd:enumeration value="L.Rooney"/>
                    <xsd:enumeration value="L.Webb"/>
                    <xsd:enumeration value="LACOTS"/>
                    <xsd:enumeration value="Laurence Rooney"/>
                    <xsd:enumeration value="Leatherhead Food Research"/>
                    <xsd:enumeration value="Lee Cocker"/>
                    <xsd:enumeration value="Lee Cooper"/>
                    <xsd:enumeration value="Lee Hastie"/>
                    <xsd:enumeration value="LEH"/>
                    <xsd:enumeration value="Leslsie Tait"/>
                    <xsd:enumeration value="Lewis Cowie"/>
                    <xsd:enumeration value="Lina-Lotta Lahdenkauppi"/>
                    <xsd:enumeration value="Liu Liping Sang Yanhua"/>
                    <xsd:enumeration value="Llyn Aquaculture Ltd."/>
                    <xsd:enumeration value="Loch Fyne Seafarms"/>
                    <xsd:enumeration value="LOCTS"/>
                    <xsd:enumeration value="Lorena Recio"/>
                    <xsd:enumeration value="Louise Jones"/>
                    <xsd:enumeration value="Louise Vaughan"/>
                    <xsd:enumeration value="Luis Cocas"/>
                    <xsd:enumeration value="Lynn Gilmore"/>
                    <xsd:enumeration value="M. Virgili"/>
                    <xsd:enumeration value="M.A.James"/>
                    <xsd:enumeration value="M.Anyadiegwu"/>
                    <xsd:enumeration value="M.Boulter"/>
                    <xsd:enumeration value="M.C.Platt"/>
                    <xsd:enumeration value="M.D"/>
                    <xsd:enumeration value="M.Daniels"/>
                    <xsd:enumeration value="M.Ellis"/>
                    <xsd:enumeration value="M.Emberton"/>
                    <xsd:enumeration value="M.George"/>
                    <xsd:enumeration value="M.Gillespie"/>
                    <xsd:enumeration value="M.Gray"/>
                    <xsd:enumeration value="M.H"/>
                    <xsd:enumeration value="M.Hamilton"/>
                    <xsd:enumeration value="M.Hatfield"/>
                    <xsd:enumeration value="M.Hayward"/>
                    <xsd:enumeration value="M.Humphrey"/>
                    <xsd:enumeration value="M.J.Campbell"/>
                    <xsd:enumeration value="M.J.Kaiser"/>
                    <xsd:enumeration value="M.J.S.G"/>
                    <xsd:enumeration value="M.James"/>
                    <xsd:enumeration value="M.Large"/>
                    <xsd:enumeration value="M.Lawton"/>
                    <xsd:enumeration value="M.Learmouth"/>
                    <xsd:enumeration value="M.M"/>
                    <xsd:enumeration value="M.Moore"/>
                    <xsd:enumeration value="M.Myers"/>
                    <xsd:enumeration value="M.Platt"/>
                    <xsd:enumeration value="M.Sturges"/>
                    <xsd:enumeration value="M.Syvret"/>
                    <xsd:enumeration value="M.Urch"/>
                    <xsd:enumeration value="M.Whitworth"/>
                    <xsd:enumeration value="MacMullen"/>
                    <xsd:enumeration value="Mafalda Viana"/>
                    <xsd:enumeration value="MAFF"/>
                    <xsd:enumeration value="Magnus L. Johnson"/>
                    <xsd:enumeration value="Malcolm Large"/>
                    <xsd:enumeration value="Mandy Pyke"/>
                    <xsd:enumeration value="Mao Hong"/>
                    <xsd:enumeration value="Marcus Jacklin"/>
                    <xsd:enumeration value="Marine and Coastguard Agency"/>
                    <xsd:enumeration value="Marine Stewardship Council"/>
                    <xsd:enumeration value="Marine Survey"/>
                    <xsd:enumeration value="MARITEK WORLDWIDE LTD"/>
                    <xsd:enumeration value="Mark Edmonds"/>
                    <xsd:enumeration value="Mark Gray"/>
                    <xsd:enumeration value="Mark O’Brien"/>
                    <xsd:enumeration value="Market Insight Team"/>
                    <xsd:enumeration value="Marta Moran Quintana"/>
                    <xsd:enumeration value="Martin Bowes"/>
                    <xsd:enumeration value="Martin Jaffa"/>
                    <xsd:enumeration value="Martin Syvret"/>
                    <xsd:enumeration value="Matthew Service"/>
                    <xsd:enumeration value="Melissa Pritchard"/>
                    <xsd:enumeration value="MH"/>
                    <xsd:enumeration value="Michael Bacon"/>
                    <xsd:enumeration value="Michael Humphrey"/>
                    <xsd:enumeration value="Michael Keatinge"/>
                    <xsd:enumeration value="Michaela Archer"/>
                    <xsd:enumeration value="Michel J.Kaiser"/>
                    <xsd:enumeration value="Mike Mitchell"/>
                    <xsd:enumeration value="Mike Montgomerie"/>
                    <xsd:enumeration value="Mike Park"/>
                    <xsd:enumeration value="Mike Smith"/>
                    <xsd:enumeration value="MRAG"/>
                    <xsd:enumeration value="Ms Amy Ridgeway"/>
                    <xsd:enumeration value="MTS"/>
                    <xsd:enumeration value="N Bailey"/>
                    <xsd:enumeration value="N.A.G"/>
                    <xsd:enumeration value="N.C.H.Lake"/>
                    <xsd:enumeration value="N.Downing"/>
                    <xsd:enumeration value="N.Garbutt"/>
                    <xsd:enumeration value="N.Graham"/>
                    <xsd:enumeration value="N.Hatfield"/>
                    <xsd:enumeration value="N.Kelly"/>
                    <xsd:enumeration value="N.M.K"/>
                    <xsd:enumeration value="N.M.Kerr"/>
                    <xsd:enumeration value="N.McEwan"/>
                    <xsd:enumeration value="N.McKeller"/>
                    <xsd:enumeration value="N.R.Halford"/>
                    <xsd:enumeration value="N.Ward"/>
                    <xsd:enumeration value="N.Whiteley"/>
                    <xsd:enumeration value="N.Wood"/>
                    <xsd:enumeration value="NAFC Marine Centre"/>
                    <xsd:enumeration value="Naomi McCann"/>
                    <xsd:enumeration value="Nathan de Rozarieux"/>
                    <xsd:enumeration value="National Health and Family Planning Commission"/>
                    <xsd:enumeration value="Nautilus Consultants"/>
                    <xsd:enumeration value="NFFO Services Ltd."/>
                    <xsd:enumeration value="NI Seafood Ind"/>
                    <xsd:enumeration value="Nia Whiteley"/>
                    <xsd:enumeration value="Nick Connelly"/>
                    <xsd:enumeration value="Nick Patience"/>
                    <xsd:enumeration value="Nofima"/>
                    <xsd:enumeration value="Norge"/>
                    <xsd:enumeration value="Norman"/>
                    <xsd:enumeration value="North Bay Shellfish Ltd"/>
                    <xsd:enumeration value="Northern Ireland Seafood"/>
                    <xsd:enumeration value="Not known"/>
                    <xsd:enumeration value="NSL"/>
                    <xsd:enumeration value="OceanWatch Australia"/>
                    <xsd:enumeration value="Oliver Tulley"/>
                    <xsd:enumeration value="Omnimas"/>
                    <xsd:enumeration value="Oscar Wilkie"/>
                    <xsd:enumeration value="Othniel Shellfish"/>
                    <xsd:enumeration value="P Gibson"/>
                    <xsd:enumeration value="P. Tyedmers (Dalhousie University)"/>
                    <xsd:enumeration value="P.B.Gallacher"/>
                    <xsd:enumeration value="P.Baird"/>
                    <xsd:enumeration value="P.Brown"/>
                    <xsd:enumeration value="P.C.Smith"/>
                    <xsd:enumeration value="P.D.Chaplin"/>
                    <xsd:enumeration value="P.G"/>
                    <xsd:enumeration value="P.G.W"/>
                    <xsd:enumeration value="P.Gatland"/>
                    <xsd:enumeration value="P.H.B"/>
                    <xsd:enumeration value="P.H.MacMullen"/>
                    <xsd:enumeration value="P.J.G"/>
                    <xsd:enumeration value="P.J.Hearn"/>
                    <xsd:enumeration value="P.Johnson"/>
                    <xsd:enumeration value="P.L. Newland"/>
                    <xsd:enumeration value="P.L.S"/>
                    <xsd:enumeration value="P.L.Smith"/>
                    <xsd:enumeration value="P.MacMullen"/>
                    <xsd:enumeration value="P.Math's"/>
                    <xsd:enumeration value="P.N"/>
                    <xsd:enumeration value="P.Neve"/>
                    <xsd:enumeration value="P.Posen"/>
                    <xsd:enumeration value="P.Prout"/>
                    <xsd:enumeration value="P.S"/>
                    <xsd:enumeration value="P.Smith"/>
                    <xsd:enumeration value="P.T.Franklin"/>
                    <xsd:enumeration value="P.Tiffney"/>
                    <xsd:enumeration value="P.Townend"/>
                    <xsd:enumeration value="P.V"/>
                    <xsd:enumeration value="P.W"/>
                    <xsd:enumeration value="P.Watson"/>
                    <xsd:enumeration value="P.Watts"/>
                    <xsd:enumeration value="P.White"/>
                    <xsd:enumeration value="P.Wilson"/>
                    <xsd:enumeration value="P.Wood"/>
                    <xsd:enumeration value="Paul Buckley (Marine Climate Change Impacts Partnership)"/>
                    <xsd:enumeration value="Paul Butler"/>
                    <xsd:enumeration value="Paul Medley"/>
                    <xsd:enumeration value="Paul Neve"/>
                    <xsd:enumeration value="Peter Tarrant"/>
                    <xsd:enumeration value="Peter Tyndall"/>
                    <xsd:enumeration value="Peter Walker"/>
                    <xsd:enumeration value="Peter Warren"/>
                    <xsd:enumeration value="Peter Wilson"/>
                    <xsd:enumeration value="Phil MacMullen"/>
                    <xsd:enumeration value="Phil Prout"/>
                    <xsd:enumeration value="Phillip Quirie"/>
                    <xsd:enumeration value="Pingguo He"/>
                    <xsd:enumeration value="PIRA"/>
                    <xsd:enumeration value="PIRA International"/>
                    <xsd:enumeration value="PJH"/>
                    <xsd:enumeration value="Platt"/>
                    <xsd:enumeration value="Plymouth Poly"/>
                    <xsd:enumeration value="Porter"/>
                    <xsd:enumeration value="Poseidon Aquatic Resource Management Ltd."/>
                    <xsd:enumeration value="Poseidon ARM and BTS"/>
                    <xsd:enumeration value="Prof. Michel J.Kaiser"/>
                    <xsd:enumeration value="Professor Laurence Mee"/>
                    <xsd:enumeration value="PT"/>
                    <xsd:enumeration value="Pyke and Deane Aquaculture Consultants"/>
                    <xsd:enumeration value="Qiang Weiguo"/>
                    <xsd:enumeration value="Qing Lv"/>
                    <xsd:enumeration value="Quality Assurance Department"/>
                    <xsd:enumeration value="R J Fryer"/>
                    <xsd:enumeration value="R J Kynoch"/>
                    <xsd:enumeration value="R Johnson"/>
                    <xsd:enumeration value="R S T Ferro"/>
                    <xsd:enumeration value="R. Land"/>
                    <xsd:enumeration value="R. Parker (Dalhousie University)"/>
                    <xsd:enumeration value="R.A.Reese"/>
                    <xsd:enumeration value="R.B.Watt"/>
                    <xsd:enumeration value="R.Bennett"/>
                    <xsd:enumeration value="R.Boyle"/>
                    <xsd:enumeration value="R.Bricknell"/>
                    <xsd:enumeration value="R.C"/>
                    <xsd:enumeration value="R.C"/>
                    <xsd:enumeration value="R.Campbell"/>
                    <xsd:enumeration value="R.Cappell"/>
                    <xsd:enumeration value="R.Curtis"/>
                    <xsd:enumeration value="R.D.E"/>
                    <xsd:enumeration value="R.E"/>
                    <xsd:enumeration value="R.Ellis"/>
                    <xsd:enumeration value="R.Enever"/>
                    <xsd:enumeration value="R.F"/>
                    <xsd:enumeration value="R.F.V"/>
                    <xsd:enumeration value="R.Finbow"/>
                    <xsd:enumeration value="R.Forster"/>
                    <xsd:enumeration value="R.Gara"/>
                    <xsd:enumeration value="R.H"/>
                    <xsd:enumeration value="R.Hill"/>
                    <xsd:enumeration value="R.Horton"/>
                    <xsd:enumeration value="R.J"/>
                    <xsd:enumeration value="R.J.A. Nichol"/>
                    <xsd:enumeration value="R.J.A.N"/>
                    <xsd:enumeration value="R.J.A.Nicholson"/>
                    <xsd:enumeration value="R.J.Shields"/>
                    <xsd:enumeration value="R.J.Slaski"/>
                    <xsd:enumeration value="R.Johnson"/>
                    <xsd:enumeration value="R.L"/>
                    <xsd:enumeration value="R.Leach"/>
                    <xsd:enumeration value="R.Lee"/>
                    <xsd:enumeration value="R.McCormack"/>
                    <xsd:enumeration value="R.McK"/>
                    <xsd:enumeration value="R.McM"/>
                    <xsd:enumeration value="R.Mounce"/>
                    <xsd:enumeration value="R.N"/>
                    <xsd:enumeration value="R.Nicholson"/>
                    <xsd:enumeration value="R.Pryor"/>
                    <xsd:enumeration value="R.S Batty"/>
                    <xsd:enumeration value="R.S.Horton"/>
                    <xsd:enumeration value="R.S.Mounce"/>
                    <xsd:enumeration value="R.S.T.Ferro"/>
                    <xsd:enumeration value="R.S.Walker"/>
                    <xsd:enumeration value="R.Seidel"/>
                    <xsd:enumeration value="R.Slaski"/>
                    <xsd:enumeration value="R.Uglow"/>
                    <xsd:enumeration value="R.W.Ellis"/>
                    <xsd:enumeration value="R.White"/>
                    <xsd:enumeration value="R.Whiteley"/>
                    <xsd:enumeration value="Rannva Danielsen"/>
                    <xsd:enumeration value="RB"/>
                    <xsd:enumeration value="Rebecca Harris"/>
                    <xsd:enumeration value="Richard Briggs"/>
                    <xsd:enumeration value="Richard Caslake"/>
                    <xsd:enumeration value="Richard Curtin"/>
                    <xsd:enumeration value="Richard L Shelmerdine"/>
                    <xsd:enumeration value="Richard Wardell"/>
                    <xsd:enumeration value="Richard Watson"/>
                    <xsd:enumeration value="RJA"/>
                    <xsd:enumeration value="Rjan"/>
                    <xsd:enumeration value="Rjan"/>
                    <xsd:enumeration value="RML Gratacap"/>
                    <xsd:enumeration value="Rob Tinch"/>
                    <xsd:enumeration value="Robert Clark"/>
                    <xsd:enumeration value="Robert Dawe"/>
                    <xsd:enumeration value="Robert Gillett"/>
                    <xsd:enumeration value="Robert Young"/>
                    <xsd:enumeration value="Rod Cappell"/>
                    <xsd:enumeration value="Roger B. Larsen"/>
                    <xsd:enumeration value="Roger Plant"/>
                    <xsd:enumeration value="Ronán Cosgrove"/>
                    <xsd:enumeration value="Roy Sutherland"/>
                    <xsd:enumeration value="RvZ"/>
                    <xsd:enumeration value="S M Anton"/>
                    <xsd:enumeration value="S. Anton (Seafish)"/>
                    <xsd:enumeration value="S.A.Horsfall"/>
                    <xsd:enumeration value="S.Antezana"/>
                    <xsd:enumeration value="S.Anton"/>
                    <xsd:enumeration value="S.Bark"/>
                    <xsd:enumeration value="S.D.Utting"/>
                    <xsd:enumeration value="S.Fiddy"/>
                    <xsd:enumeration value="S.H"/>
                    <xsd:enumeration value="S.Hepples"/>
                    <xsd:enumeration value="S.Hookam"/>
                    <xsd:enumeration value="S.Horsfall"/>
                    <xsd:enumeration value="S.K"/>
                    <xsd:enumeration value="S.Kingwell"/>
                    <xsd:enumeration value="S.Macinko"/>
                    <xsd:enumeration value="S.Metz"/>
                    <xsd:enumeration value="S.Millar"/>
                    <xsd:enumeration value="S.R"/>
                    <xsd:enumeration value="S.Ross-Smith"/>
                    <xsd:enumeration value="S.Shepherd"/>
                    <xsd:enumeration value="S.Sheppard Fidler"/>
                    <xsd:enumeration value="S.T.H"/>
                    <xsd:enumeration value="S.Walmsley"/>
                    <xsd:enumeration value="S.Wyman"/>
                    <xsd:enumeration value="S.Xu"/>
                    <xsd:enumeration value="SAGB"/>
                    <xsd:enumeration value="Sam Rush"/>
                    <xsd:enumeration value="Samuel Shephard"/>
                    <xsd:enumeration value="Sansanee Wangvoralak"/>
                    <xsd:enumeration value="Sarah Horsfall"/>
                    <xsd:enumeration value="SC Mangi"/>
                    <xsd:enumeration value="Scottish Association for Marine Science"/>
                    <xsd:enumeration value="Sea Fish Industrial Development Unit"/>
                    <xsd:enumeration value="Sea Fish Industry Authority"/>
                    <xsd:enumeration value="Seafish"/>
                    <xsd:enumeration value="Seafish Aquaculture"/>
                    <xsd:enumeration value="Seafish Corporate Comms"/>
                    <xsd:enumeration value="Seafish Economics"/>
                    <xsd:enumeration value="Seafish Gear Technology"/>
                    <xsd:enumeration value="Seafish Industrial Development Unit"/>
                    <xsd:enumeration value="Seafish Legislation"/>
                    <xsd:enumeration value="Seafish Marine Services"/>
                    <xsd:enumeration value="Seafish Market Insight"/>
                    <xsd:enumeration value="Seafish Marketing"/>
                    <xsd:enumeration value="Seafish Marketing and Reynier Research Ltd."/>
                    <xsd:enumeration value="Seafish Marketing Communications"/>
                    <xsd:enumeration value="Seafish R &amp; D"/>
                    <xsd:enumeration value="Seafish Technology"/>
                    <xsd:enumeration value="Seafish Training"/>
                    <xsd:enumeration value="Seafood 2040"/>
                    <xsd:enumeration value="Seafood Scotland"/>
                    <xsd:enumeration value="Sébastien Metz"/>
                    <xsd:enumeration value="SFIA"/>
                    <xsd:enumeration value="SFIA Hull"/>
                    <xsd:enumeration value="SFIA Industrial Development Unit"/>
                    <xsd:enumeration value="Shaoping Gu"/>
                    <xsd:enumeration value="Sharon Burke"/>
                    <xsd:enumeration value="Shaun Doran"/>
                    <xsd:enumeration value="Shellfish Association of Great Britain"/>
                    <xsd:enumeration value="Shellfish Committee"/>
                    <xsd:enumeration value="Shipowner Ltd."/>
                    <xsd:enumeration value="Simon Mardle"/>
                    <xsd:enumeration value="Simon Potten"/>
                    <xsd:enumeration value="Simon Wadsworth"/>
                    <xsd:enumeration value="SINTEF Fisheries and Aquaculture"/>
                    <xsd:enumeration value="SK"/>
                    <xsd:enumeration value="SMillar"/>
                    <xsd:enumeration value="SMRU"/>
                    <xsd:enumeration value="SOAEFD"/>
                    <xsd:enumeration value="SOAFD"/>
                    <xsd:enumeration value="Solway Marine Oysters"/>
                    <xsd:enumeration value="Sophie des Clers"/>
                    <xsd:enumeration value="Sophy McCully"/>
                    <xsd:enumeration value="Stephen Lockwood"/>
                    <xsd:enumeration value="Steve Eayrs"/>
                    <xsd:enumeration value="Steve Lawrence"/>
                    <xsd:enumeration value="Steven Votier"/>
                    <xsd:enumeration value="Stirling University"/>
                    <xsd:enumeration value="Struan Noble"/>
                    <xsd:enumeration value="Stuart Masson"/>
                    <xsd:enumeration value="Sue Evans"/>
                    <xsd:enumeration value="Sue Utting"/>
                    <xsd:enumeration value="Susan Anton"/>
                    <xsd:enumeration value="Sussex Sea Fisheries District Committee"/>
                    <xsd:enumeration value="Suzi Pegg"/>
                    <xsd:enumeration value="Suzi Pegg-Darlison"/>
                    <xsd:enumeration value="Sven Koschinski/Meereszoologie"/>
                    <xsd:enumeration value="T.Abram"/>
                    <xsd:enumeration value="T.E.White"/>
                    <xsd:enumeration value="T.Eggett"/>
                    <xsd:enumeration value="T.Goodwin"/>
                    <xsd:enumeration value="T.Gross"/>
                    <xsd:enumeration value="T.H.Birkbeck"/>
                    <xsd:enumeration value="T.H.Porter"/>
                    <xsd:enumeration value="T.L Catchpole"/>
                    <xsd:enumeration value="T.Misson"/>
                    <xsd:enumeration value="T.O"/>
                    <xsd:enumeration value="T.Raylor"/>
                    <xsd:enumeration value="T.Rossiter"/>
                    <xsd:enumeration value="T.S.O"/>
                    <xsd:enumeration value="T.W"/>
                    <xsd:enumeration value="T.Wieland"/>
                    <xsd:enumeration value="T.Wray"/>
                    <xsd:enumeration value="Tara McCarthy"/>
                    <xsd:enumeration value="Tegen Mor Fisheries Consultants"/>
                    <xsd:enumeration value="The Fraser of Allander Institute for Research on the Scottish Economy"/>
                    <xsd:enumeration value="The National Health and Family Planning Commission of the People’s Republic of China"/>
                    <xsd:enumeration value="The Sea Fish Industry Authority"/>
                    <xsd:enumeration value="The Shellfish Association of Great Britain"/>
                    <xsd:enumeration value="Thomas Breithaupt"/>
                    <xsd:enumeration value="Thomas Clifford"/>
                    <xsd:enumeration value="Tim Huntingdon"/>
                    <xsd:enumeration value="Tom Catchpole"/>
                    <xsd:enumeration value="Tom Pickerell"/>
                    <xsd:enumeration value="Tom Rossiter"/>
                    <xsd:enumeration value="Tony Garthwaite"/>
                    <xsd:enumeration value="Tony Legg CIBiol MIBiol MIFM"/>
                    <xsd:enumeration value="Tristan Southall"/>
                    <xsd:enumeration value="Tsvetina Yordanova"/>
                    <xsd:enumeration value="UK Association of Frozen Food Producers"/>
                    <xsd:enumeration value="Ulrik Jes Hansen"/>
                    <xsd:enumeration value="University of Aberdeen, School of Biological Sciences"/>
                    <xsd:enumeration value="University of Hull"/>
                    <xsd:enumeration value="Unknown"/>
                    <xsd:enumeration value="V. Restrepo"/>
                    <xsd:enumeration value="Vericatch"/>
                    <xsd:enumeration value="Víctor Restrepo"/>
                    <xsd:enumeration value="W R Turrell"/>
                    <xsd:enumeration value="W.Brugge"/>
                    <xsd:enumeration value="W.D"/>
                    <xsd:enumeration value="W.Denton"/>
                    <xsd:enumeration value="W.E.Taylor"/>
                    <xsd:enumeration value="W.M.Broncke"/>
                    <xsd:enumeration value="W.O.C"/>
                    <xsd:enumeration value="W.Phillips"/>
                    <xsd:enumeration value="W.Roy"/>
                    <xsd:enumeration value="W.Siddle"/>
                    <xsd:enumeration value="W.Smith"/>
                    <xsd:enumeration value="W.Yu"/>
                    <xsd:enumeration value="Wade Whitelaw"/>
                    <xsd:enumeration value="Walter Crozier"/>
                    <xsd:enumeration value="WD"/>
                    <xsd:enumeration value="Welsh Fishing Safety Committee in collaboration with Seafish (EMFF funding via Welsh Government)"/>
                    <xsd:enumeration value="WFA Industrial Development Unit"/>
                    <xsd:enumeration value="Wilber R. Seidel"/>
                    <xsd:enumeration value="William Lart"/>
                    <xsd:enumeration value="WS"/>
                    <xsd:enumeration value="Xiao Chen"/>
                    <xsd:enumeration value="Xiaowei Shi"/>
                    <xsd:enumeration value="Yang Huifen"/>
                    <xsd:enumeration value="Yolanda Corripio Miyar"/>
                    <xsd:enumeration value="Youngs Sea Foods"/>
                    <xsd:enumeration value="Yuan Aiping"/>
                    <xsd:enumeration value="Z.Wu"/>
                    <xsd:enumeration value="Zoe Healey"/>
                  </xsd:restriction>
                </xsd:simpleType>
              </xsd:element>
            </xsd:sequence>
          </xsd:extension>
        </xsd:complexContent>
      </xsd:complexType>
    </xsd:element>
    <xsd:element name="MediaFormatOld" ma:index="7" nillable="true" ma:displayName="Media Format Old" ma:internalName="MediaFormatOld">
      <xsd:simpleType>
        <xsd:restriction base="dms:Text"/>
      </xsd:simpleType>
    </xsd:element>
    <xsd:element name="PublicationRefNo" ma:index="8" nillable="true" ma:displayName="Publication Reference Number" ma:internalName="PublicationRefNo">
      <xsd:simpleType>
        <xsd:restriction base="dms:Text"/>
      </xsd:simpleType>
    </xsd:element>
    <xsd:element name="ISBN" ma:index="9" nillable="true" ma:displayName="ISBN" ma:internalName="ISBN">
      <xsd:simpleType>
        <xsd:restriction base="dms:Text"/>
      </xsd:simpleType>
    </xsd:element>
    <xsd:element name="LegacyId" ma:index="10" nillable="true" ma:displayName="Legacy Id" ma:hidden="true" ma:internalName="LegacyId" ma:readOnly="false">
      <xsd:simpleType>
        <xsd:restriction base="dms:Text"/>
      </xsd:simpleType>
    </xsd:element>
    <xsd:element name="PubMonth" ma:index="11" nillable="true" ma:displayName="Publication Month" ma:hidden="true" ma:internalName="PubMonth" ma:readOnly="false">
      <xsd:simpleType>
        <xsd:restriction base="dms:Text"/>
      </xsd:simpleType>
    </xsd:element>
    <xsd:element name="PubYear" ma:index="12" nillable="true" ma:displayName="Publication Year" ma:hidden="true" ma:indexed="true" ma:internalName="PubYear">
      <xsd:simpleType>
        <xsd:restriction base="dms:Text"/>
      </xsd:simpleType>
    </xsd:element>
    <xsd:element name="MediaFormat" ma:index="13" nillable="true" ma:displayName="Media Format" ma:default="" ma:format="Dropdown" ma:internalName="MediaFormat">
      <xsd:simpleType>
        <xsd:restriction base="dms:Choice">
          <xsd:enumeration value="Download"/>
          <xsd:enumeration value="CD"/>
          <xsd:enumeration value="Web Page"/>
          <xsd:enumeration value="Paper"/>
          <xsd:enumeration value="Booklet or leaflet"/>
          <xsd:enumeration value="Other"/>
          <xsd:enumeration value="Not known"/>
          <xsd:enumeration value="Book"/>
          <xsd:enumeration value="Video"/>
          <xsd:enumeration value="Manual"/>
          <xsd:enumeration value="Open learning module"/>
          <xsd:enumeration value="Distance learning pack"/>
          <xsd:enumeration value="OLM with video"/>
          <xsd:enumeration value="DVD"/>
        </xsd:restriction>
      </xsd:simpleType>
    </xsd:element>
    <xsd:element name="DocumentAdded" ma:index="14" ma:displayName="Added" ma:format="DateOnly" ma:indexed="true" ma:internalName="DocumentAdded">
      <xsd:simpleType>
        <xsd:restriction base="dms:DateTime"/>
      </xsd:simpleType>
    </xsd:element>
    <xsd:element name="DocumentStatus" ma:index="15" nillable="true" ma:displayName="Document Status" ma:default="Unpublished" ma:format="Dropdown" ma:indexed="true" ma:internalName="DocumentStatus">
      <xsd:simpleType>
        <xsd:restriction base="dms:Choice">
          <xsd:enumeration value="Deleted"/>
          <xsd:enumeration value="Unpublished"/>
          <xsd:enumeration value="Published"/>
          <xsd:enumeration value="Archived"/>
        </xsd:restriction>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c1e97c-7a75-4aca-9712-5efb9ef450ab"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ServiceAutoTags" ma:index="28" nillable="true" ma:displayName="Tags" ma:internalName="MediaServiceAutoTags"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Year xmlns="cebd32e3-9ab6-41ee-b1af-b8405a8d4e68">2017</PubYear>
    <MediaFormatOld xmlns="cebd32e3-9ab6-41ee-b1af-b8405a8d4e68">Download</MediaFormatOld>
    <DocumentTopic xmlns="cebd32e3-9ab6-41ee-b1af-b8405a8d4e68" xsi:nil="true"/>
    <DocumentStatus xmlns="cebd32e3-9ab6-41ee-b1af-b8405a8d4e68">Published</DocumentStatus>
    <ISBN xmlns="cebd32e3-9ab6-41ee-b1af-b8405a8d4e68" xsi:nil="true"/>
    <PublicationDate xmlns="cebd32e3-9ab6-41ee-b1af-b8405a8d4e68">2017-09-30T23:00:00+00:00</PublicationDate>
    <PubMonth xmlns="cebd32e3-9ab6-41ee-b1af-b8405a8d4e68">10</PubMonth>
    <DocumentAdded xmlns="cebd32e3-9ab6-41ee-b1af-b8405a8d4e68">2018-01-05T00:00:00+00:00</DocumentAdded>
    <PublicationRefNo xmlns="cebd32e3-9ab6-41ee-b1af-b8405a8d4e68" xsi:nil="true"/>
    <LegacyId xmlns="cebd32e3-9ab6-41ee-b1af-b8405a8d4e68">3984</LegacyId>
    <DocumentAuthors xmlns="cebd32e3-9ab6-41ee-b1af-b8405a8d4e68">
      <Value>Marine Stewardship Council</Value>
    </DocumentAuthors>
    <DocumentSummary xmlns="cebd32e3-9ab6-41ee-b1af-b8405a8d4e68"/>
    <MediaFormat xmlns="cebd32e3-9ab6-41ee-b1af-b8405a8d4e68"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50BAB0-E9C3-47CC-8616-EBBA7A91B3EF}">
  <ds:schemaRefs>
    <ds:schemaRef ds:uri="http://schemas.microsoft.com/sharepoint/v3/contenttype/forms"/>
  </ds:schemaRefs>
</ds:datastoreItem>
</file>

<file path=customXml/itemProps2.xml><?xml version="1.0" encoding="utf-8"?>
<ds:datastoreItem xmlns:ds="http://schemas.openxmlformats.org/officeDocument/2006/customXml" ds:itemID="{7236F017-4A94-4567-BAE0-D97AD86C0EFB}"/>
</file>

<file path=customXml/itemProps3.xml><?xml version="1.0" encoding="utf-8"?>
<ds:datastoreItem xmlns:ds="http://schemas.openxmlformats.org/officeDocument/2006/customXml" ds:itemID="{1F152DF5-B7D5-4FF1-8918-6BE99C191DB9}">
  <ds:schemaRefs>
    <ds:schemaRef ds:uri="http://purl.org/dc/dcmitype/"/>
    <ds:schemaRef ds:uri="http://purl.org/dc/elements/1.1/"/>
    <ds:schemaRef ds:uri="http://schemas.openxmlformats.org/package/2006/metadata/core-properties"/>
    <ds:schemaRef ds:uri="http://schemas.microsoft.com/office/infopath/2007/PartnerControls"/>
    <ds:schemaRef ds:uri="http://schemas.microsoft.com/office/2006/metadata/properties"/>
    <ds:schemaRef ds:uri="230c30b3-5bf2-4424-b964-6b55c85701d3"/>
    <ds:schemaRef ds:uri="http://schemas.microsoft.com/office/2006/documentManagement/types"/>
    <ds:schemaRef ds:uri="http://www.w3.org/XML/1998/namespace"/>
    <ds:schemaRef ds:uri="http://purl.org/dc/terms/"/>
  </ds:schemaRefs>
</ds:datastoreItem>
</file>

<file path=customXml/itemProps4.xml><?xml version="1.0" encoding="utf-8"?>
<ds:datastoreItem xmlns:ds="http://schemas.openxmlformats.org/officeDocument/2006/customXml" ds:itemID="{0289CBE6-BD5D-4FB0-BAB7-A1F775C7D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8895</Words>
  <Characters>50703</Characters>
  <Application>Microsoft Office Word</Application>
  <DocSecurity>0</DocSecurity>
  <Lines>422</Lines>
  <Paragraphs>118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59480</CharactersWithSpaces>
  <SharedDoc>false</SharedDoc>
  <HLinks>
    <vt:vector size="240" baseType="variant">
      <vt:variant>
        <vt:i4>917555</vt:i4>
      </vt:variant>
      <vt:variant>
        <vt:i4>234</vt:i4>
      </vt:variant>
      <vt:variant>
        <vt:i4>0</vt:i4>
      </vt:variant>
      <vt:variant>
        <vt:i4>5</vt:i4>
      </vt:variant>
      <vt:variant>
        <vt:lpwstr>mailto:fisheries@msc.org</vt:lpwstr>
      </vt:variant>
      <vt:variant>
        <vt:lpwstr/>
      </vt:variant>
      <vt:variant>
        <vt:i4>1507388</vt:i4>
      </vt:variant>
      <vt:variant>
        <vt:i4>227</vt:i4>
      </vt:variant>
      <vt:variant>
        <vt:i4>0</vt:i4>
      </vt:variant>
      <vt:variant>
        <vt:i4>5</vt:i4>
      </vt:variant>
      <vt:variant>
        <vt:lpwstr/>
      </vt:variant>
      <vt:variant>
        <vt:lpwstr>_Toc372551836</vt:lpwstr>
      </vt:variant>
      <vt:variant>
        <vt:i4>1507388</vt:i4>
      </vt:variant>
      <vt:variant>
        <vt:i4>221</vt:i4>
      </vt:variant>
      <vt:variant>
        <vt:i4>0</vt:i4>
      </vt:variant>
      <vt:variant>
        <vt:i4>5</vt:i4>
      </vt:variant>
      <vt:variant>
        <vt:lpwstr/>
      </vt:variant>
      <vt:variant>
        <vt:lpwstr>_Toc372551835</vt:lpwstr>
      </vt:variant>
      <vt:variant>
        <vt:i4>1507388</vt:i4>
      </vt:variant>
      <vt:variant>
        <vt:i4>215</vt:i4>
      </vt:variant>
      <vt:variant>
        <vt:i4>0</vt:i4>
      </vt:variant>
      <vt:variant>
        <vt:i4>5</vt:i4>
      </vt:variant>
      <vt:variant>
        <vt:lpwstr/>
      </vt:variant>
      <vt:variant>
        <vt:lpwstr>_Toc372551834</vt:lpwstr>
      </vt:variant>
      <vt:variant>
        <vt:i4>1507388</vt:i4>
      </vt:variant>
      <vt:variant>
        <vt:i4>209</vt:i4>
      </vt:variant>
      <vt:variant>
        <vt:i4>0</vt:i4>
      </vt:variant>
      <vt:variant>
        <vt:i4>5</vt:i4>
      </vt:variant>
      <vt:variant>
        <vt:lpwstr/>
      </vt:variant>
      <vt:variant>
        <vt:lpwstr>_Toc372551833</vt:lpwstr>
      </vt:variant>
      <vt:variant>
        <vt:i4>1507388</vt:i4>
      </vt:variant>
      <vt:variant>
        <vt:i4>203</vt:i4>
      </vt:variant>
      <vt:variant>
        <vt:i4>0</vt:i4>
      </vt:variant>
      <vt:variant>
        <vt:i4>5</vt:i4>
      </vt:variant>
      <vt:variant>
        <vt:lpwstr/>
      </vt:variant>
      <vt:variant>
        <vt:lpwstr>_Toc372551832</vt:lpwstr>
      </vt:variant>
      <vt:variant>
        <vt:i4>1507388</vt:i4>
      </vt:variant>
      <vt:variant>
        <vt:i4>197</vt:i4>
      </vt:variant>
      <vt:variant>
        <vt:i4>0</vt:i4>
      </vt:variant>
      <vt:variant>
        <vt:i4>5</vt:i4>
      </vt:variant>
      <vt:variant>
        <vt:lpwstr/>
      </vt:variant>
      <vt:variant>
        <vt:lpwstr>_Toc372551831</vt:lpwstr>
      </vt:variant>
      <vt:variant>
        <vt:i4>1507388</vt:i4>
      </vt:variant>
      <vt:variant>
        <vt:i4>191</vt:i4>
      </vt:variant>
      <vt:variant>
        <vt:i4>0</vt:i4>
      </vt:variant>
      <vt:variant>
        <vt:i4>5</vt:i4>
      </vt:variant>
      <vt:variant>
        <vt:lpwstr/>
      </vt:variant>
      <vt:variant>
        <vt:lpwstr>_Toc372551830</vt:lpwstr>
      </vt:variant>
      <vt:variant>
        <vt:i4>1441852</vt:i4>
      </vt:variant>
      <vt:variant>
        <vt:i4>185</vt:i4>
      </vt:variant>
      <vt:variant>
        <vt:i4>0</vt:i4>
      </vt:variant>
      <vt:variant>
        <vt:i4>5</vt:i4>
      </vt:variant>
      <vt:variant>
        <vt:lpwstr/>
      </vt:variant>
      <vt:variant>
        <vt:lpwstr>_Toc372551829</vt:lpwstr>
      </vt:variant>
      <vt:variant>
        <vt:i4>1441852</vt:i4>
      </vt:variant>
      <vt:variant>
        <vt:i4>179</vt:i4>
      </vt:variant>
      <vt:variant>
        <vt:i4>0</vt:i4>
      </vt:variant>
      <vt:variant>
        <vt:i4>5</vt:i4>
      </vt:variant>
      <vt:variant>
        <vt:lpwstr/>
      </vt:variant>
      <vt:variant>
        <vt:lpwstr>_Toc372551828</vt:lpwstr>
      </vt:variant>
      <vt:variant>
        <vt:i4>1441852</vt:i4>
      </vt:variant>
      <vt:variant>
        <vt:i4>173</vt:i4>
      </vt:variant>
      <vt:variant>
        <vt:i4>0</vt:i4>
      </vt:variant>
      <vt:variant>
        <vt:i4>5</vt:i4>
      </vt:variant>
      <vt:variant>
        <vt:lpwstr/>
      </vt:variant>
      <vt:variant>
        <vt:lpwstr>_Toc372551827</vt:lpwstr>
      </vt:variant>
      <vt:variant>
        <vt:i4>1441852</vt:i4>
      </vt:variant>
      <vt:variant>
        <vt:i4>167</vt:i4>
      </vt:variant>
      <vt:variant>
        <vt:i4>0</vt:i4>
      </vt:variant>
      <vt:variant>
        <vt:i4>5</vt:i4>
      </vt:variant>
      <vt:variant>
        <vt:lpwstr/>
      </vt:variant>
      <vt:variant>
        <vt:lpwstr>_Toc372551826</vt:lpwstr>
      </vt:variant>
      <vt:variant>
        <vt:i4>1441852</vt:i4>
      </vt:variant>
      <vt:variant>
        <vt:i4>161</vt:i4>
      </vt:variant>
      <vt:variant>
        <vt:i4>0</vt:i4>
      </vt:variant>
      <vt:variant>
        <vt:i4>5</vt:i4>
      </vt:variant>
      <vt:variant>
        <vt:lpwstr/>
      </vt:variant>
      <vt:variant>
        <vt:lpwstr>_Toc372551825</vt:lpwstr>
      </vt:variant>
      <vt:variant>
        <vt:i4>1441852</vt:i4>
      </vt:variant>
      <vt:variant>
        <vt:i4>155</vt:i4>
      </vt:variant>
      <vt:variant>
        <vt:i4>0</vt:i4>
      </vt:variant>
      <vt:variant>
        <vt:i4>5</vt:i4>
      </vt:variant>
      <vt:variant>
        <vt:lpwstr/>
      </vt:variant>
      <vt:variant>
        <vt:lpwstr>_Toc372551824</vt:lpwstr>
      </vt:variant>
      <vt:variant>
        <vt:i4>1441852</vt:i4>
      </vt:variant>
      <vt:variant>
        <vt:i4>149</vt:i4>
      </vt:variant>
      <vt:variant>
        <vt:i4>0</vt:i4>
      </vt:variant>
      <vt:variant>
        <vt:i4>5</vt:i4>
      </vt:variant>
      <vt:variant>
        <vt:lpwstr/>
      </vt:variant>
      <vt:variant>
        <vt:lpwstr>_Toc372551823</vt:lpwstr>
      </vt:variant>
      <vt:variant>
        <vt:i4>1441852</vt:i4>
      </vt:variant>
      <vt:variant>
        <vt:i4>143</vt:i4>
      </vt:variant>
      <vt:variant>
        <vt:i4>0</vt:i4>
      </vt:variant>
      <vt:variant>
        <vt:i4>5</vt:i4>
      </vt:variant>
      <vt:variant>
        <vt:lpwstr/>
      </vt:variant>
      <vt:variant>
        <vt:lpwstr>_Toc372551822</vt:lpwstr>
      </vt:variant>
      <vt:variant>
        <vt:i4>1441852</vt:i4>
      </vt:variant>
      <vt:variant>
        <vt:i4>137</vt:i4>
      </vt:variant>
      <vt:variant>
        <vt:i4>0</vt:i4>
      </vt:variant>
      <vt:variant>
        <vt:i4>5</vt:i4>
      </vt:variant>
      <vt:variant>
        <vt:lpwstr/>
      </vt:variant>
      <vt:variant>
        <vt:lpwstr>_Toc372551821</vt:lpwstr>
      </vt:variant>
      <vt:variant>
        <vt:i4>1441852</vt:i4>
      </vt:variant>
      <vt:variant>
        <vt:i4>131</vt:i4>
      </vt:variant>
      <vt:variant>
        <vt:i4>0</vt:i4>
      </vt:variant>
      <vt:variant>
        <vt:i4>5</vt:i4>
      </vt:variant>
      <vt:variant>
        <vt:lpwstr/>
      </vt:variant>
      <vt:variant>
        <vt:lpwstr>_Toc372551820</vt:lpwstr>
      </vt:variant>
      <vt:variant>
        <vt:i4>1376316</vt:i4>
      </vt:variant>
      <vt:variant>
        <vt:i4>125</vt:i4>
      </vt:variant>
      <vt:variant>
        <vt:i4>0</vt:i4>
      </vt:variant>
      <vt:variant>
        <vt:i4>5</vt:i4>
      </vt:variant>
      <vt:variant>
        <vt:lpwstr/>
      </vt:variant>
      <vt:variant>
        <vt:lpwstr>_Toc372551819</vt:lpwstr>
      </vt:variant>
      <vt:variant>
        <vt:i4>1376316</vt:i4>
      </vt:variant>
      <vt:variant>
        <vt:i4>119</vt:i4>
      </vt:variant>
      <vt:variant>
        <vt:i4>0</vt:i4>
      </vt:variant>
      <vt:variant>
        <vt:i4>5</vt:i4>
      </vt:variant>
      <vt:variant>
        <vt:lpwstr/>
      </vt:variant>
      <vt:variant>
        <vt:lpwstr>_Toc372551818</vt:lpwstr>
      </vt:variant>
      <vt:variant>
        <vt:i4>1376316</vt:i4>
      </vt:variant>
      <vt:variant>
        <vt:i4>113</vt:i4>
      </vt:variant>
      <vt:variant>
        <vt:i4>0</vt:i4>
      </vt:variant>
      <vt:variant>
        <vt:i4>5</vt:i4>
      </vt:variant>
      <vt:variant>
        <vt:lpwstr/>
      </vt:variant>
      <vt:variant>
        <vt:lpwstr>_Toc372551817</vt:lpwstr>
      </vt:variant>
      <vt:variant>
        <vt:i4>1376316</vt:i4>
      </vt:variant>
      <vt:variant>
        <vt:i4>107</vt:i4>
      </vt:variant>
      <vt:variant>
        <vt:i4>0</vt:i4>
      </vt:variant>
      <vt:variant>
        <vt:i4>5</vt:i4>
      </vt:variant>
      <vt:variant>
        <vt:lpwstr/>
      </vt:variant>
      <vt:variant>
        <vt:lpwstr>_Toc372551816</vt:lpwstr>
      </vt:variant>
      <vt:variant>
        <vt:i4>1376316</vt:i4>
      </vt:variant>
      <vt:variant>
        <vt:i4>101</vt:i4>
      </vt:variant>
      <vt:variant>
        <vt:i4>0</vt:i4>
      </vt:variant>
      <vt:variant>
        <vt:i4>5</vt:i4>
      </vt:variant>
      <vt:variant>
        <vt:lpwstr/>
      </vt:variant>
      <vt:variant>
        <vt:lpwstr>_Toc372551815</vt:lpwstr>
      </vt:variant>
      <vt:variant>
        <vt:i4>1376316</vt:i4>
      </vt:variant>
      <vt:variant>
        <vt:i4>95</vt:i4>
      </vt:variant>
      <vt:variant>
        <vt:i4>0</vt:i4>
      </vt:variant>
      <vt:variant>
        <vt:i4>5</vt:i4>
      </vt:variant>
      <vt:variant>
        <vt:lpwstr/>
      </vt:variant>
      <vt:variant>
        <vt:lpwstr>_Toc372551814</vt:lpwstr>
      </vt:variant>
      <vt:variant>
        <vt:i4>1376316</vt:i4>
      </vt:variant>
      <vt:variant>
        <vt:i4>89</vt:i4>
      </vt:variant>
      <vt:variant>
        <vt:i4>0</vt:i4>
      </vt:variant>
      <vt:variant>
        <vt:i4>5</vt:i4>
      </vt:variant>
      <vt:variant>
        <vt:lpwstr/>
      </vt:variant>
      <vt:variant>
        <vt:lpwstr>_Toc372551813</vt:lpwstr>
      </vt:variant>
      <vt:variant>
        <vt:i4>1376316</vt:i4>
      </vt:variant>
      <vt:variant>
        <vt:i4>83</vt:i4>
      </vt:variant>
      <vt:variant>
        <vt:i4>0</vt:i4>
      </vt:variant>
      <vt:variant>
        <vt:i4>5</vt:i4>
      </vt:variant>
      <vt:variant>
        <vt:lpwstr/>
      </vt:variant>
      <vt:variant>
        <vt:lpwstr>_Toc372551812</vt:lpwstr>
      </vt:variant>
      <vt:variant>
        <vt:i4>1376316</vt:i4>
      </vt:variant>
      <vt:variant>
        <vt:i4>77</vt:i4>
      </vt:variant>
      <vt:variant>
        <vt:i4>0</vt:i4>
      </vt:variant>
      <vt:variant>
        <vt:i4>5</vt:i4>
      </vt:variant>
      <vt:variant>
        <vt:lpwstr/>
      </vt:variant>
      <vt:variant>
        <vt:lpwstr>_Toc372551811</vt:lpwstr>
      </vt:variant>
      <vt:variant>
        <vt:i4>1376316</vt:i4>
      </vt:variant>
      <vt:variant>
        <vt:i4>71</vt:i4>
      </vt:variant>
      <vt:variant>
        <vt:i4>0</vt:i4>
      </vt:variant>
      <vt:variant>
        <vt:i4>5</vt:i4>
      </vt:variant>
      <vt:variant>
        <vt:lpwstr/>
      </vt:variant>
      <vt:variant>
        <vt:lpwstr>_Toc372551810</vt:lpwstr>
      </vt:variant>
      <vt:variant>
        <vt:i4>1310780</vt:i4>
      </vt:variant>
      <vt:variant>
        <vt:i4>65</vt:i4>
      </vt:variant>
      <vt:variant>
        <vt:i4>0</vt:i4>
      </vt:variant>
      <vt:variant>
        <vt:i4>5</vt:i4>
      </vt:variant>
      <vt:variant>
        <vt:lpwstr/>
      </vt:variant>
      <vt:variant>
        <vt:lpwstr>_Toc372551809</vt:lpwstr>
      </vt:variant>
      <vt:variant>
        <vt:i4>1310780</vt:i4>
      </vt:variant>
      <vt:variant>
        <vt:i4>59</vt:i4>
      </vt:variant>
      <vt:variant>
        <vt:i4>0</vt:i4>
      </vt:variant>
      <vt:variant>
        <vt:i4>5</vt:i4>
      </vt:variant>
      <vt:variant>
        <vt:lpwstr/>
      </vt:variant>
      <vt:variant>
        <vt:lpwstr>_Toc372551808</vt:lpwstr>
      </vt:variant>
      <vt:variant>
        <vt:i4>1310780</vt:i4>
      </vt:variant>
      <vt:variant>
        <vt:i4>53</vt:i4>
      </vt:variant>
      <vt:variant>
        <vt:i4>0</vt:i4>
      </vt:variant>
      <vt:variant>
        <vt:i4>5</vt:i4>
      </vt:variant>
      <vt:variant>
        <vt:lpwstr/>
      </vt:variant>
      <vt:variant>
        <vt:lpwstr>_Toc372551807</vt:lpwstr>
      </vt:variant>
      <vt:variant>
        <vt:i4>1310780</vt:i4>
      </vt:variant>
      <vt:variant>
        <vt:i4>47</vt:i4>
      </vt:variant>
      <vt:variant>
        <vt:i4>0</vt:i4>
      </vt:variant>
      <vt:variant>
        <vt:i4>5</vt:i4>
      </vt:variant>
      <vt:variant>
        <vt:lpwstr/>
      </vt:variant>
      <vt:variant>
        <vt:lpwstr>_Toc372551806</vt:lpwstr>
      </vt:variant>
      <vt:variant>
        <vt:i4>1310780</vt:i4>
      </vt:variant>
      <vt:variant>
        <vt:i4>41</vt:i4>
      </vt:variant>
      <vt:variant>
        <vt:i4>0</vt:i4>
      </vt:variant>
      <vt:variant>
        <vt:i4>5</vt:i4>
      </vt:variant>
      <vt:variant>
        <vt:lpwstr/>
      </vt:variant>
      <vt:variant>
        <vt:lpwstr>_Toc372551805</vt:lpwstr>
      </vt:variant>
      <vt:variant>
        <vt:i4>1310780</vt:i4>
      </vt:variant>
      <vt:variant>
        <vt:i4>35</vt:i4>
      </vt:variant>
      <vt:variant>
        <vt:i4>0</vt:i4>
      </vt:variant>
      <vt:variant>
        <vt:i4>5</vt:i4>
      </vt:variant>
      <vt:variant>
        <vt:lpwstr/>
      </vt:variant>
      <vt:variant>
        <vt:lpwstr>_Toc372551804</vt:lpwstr>
      </vt:variant>
      <vt:variant>
        <vt:i4>1310780</vt:i4>
      </vt:variant>
      <vt:variant>
        <vt:i4>29</vt:i4>
      </vt:variant>
      <vt:variant>
        <vt:i4>0</vt:i4>
      </vt:variant>
      <vt:variant>
        <vt:i4>5</vt:i4>
      </vt:variant>
      <vt:variant>
        <vt:lpwstr/>
      </vt:variant>
      <vt:variant>
        <vt:lpwstr>_Toc372551803</vt:lpwstr>
      </vt:variant>
      <vt:variant>
        <vt:i4>1310780</vt:i4>
      </vt:variant>
      <vt:variant>
        <vt:i4>23</vt:i4>
      </vt:variant>
      <vt:variant>
        <vt:i4>0</vt:i4>
      </vt:variant>
      <vt:variant>
        <vt:i4>5</vt:i4>
      </vt:variant>
      <vt:variant>
        <vt:lpwstr/>
      </vt:variant>
      <vt:variant>
        <vt:lpwstr>_Toc372551802</vt:lpwstr>
      </vt:variant>
      <vt:variant>
        <vt:i4>1310780</vt:i4>
      </vt:variant>
      <vt:variant>
        <vt:i4>17</vt:i4>
      </vt:variant>
      <vt:variant>
        <vt:i4>0</vt:i4>
      </vt:variant>
      <vt:variant>
        <vt:i4>5</vt:i4>
      </vt:variant>
      <vt:variant>
        <vt:lpwstr/>
      </vt:variant>
      <vt:variant>
        <vt:lpwstr>_Toc372551801</vt:lpwstr>
      </vt:variant>
      <vt:variant>
        <vt:i4>1310780</vt:i4>
      </vt:variant>
      <vt:variant>
        <vt:i4>11</vt:i4>
      </vt:variant>
      <vt:variant>
        <vt:i4>0</vt:i4>
      </vt:variant>
      <vt:variant>
        <vt:i4>5</vt:i4>
      </vt:variant>
      <vt:variant>
        <vt:lpwstr/>
      </vt:variant>
      <vt:variant>
        <vt:lpwstr>_Toc372551800</vt:lpwstr>
      </vt:variant>
      <vt:variant>
        <vt:i4>1900595</vt:i4>
      </vt:variant>
      <vt:variant>
        <vt:i4>5</vt:i4>
      </vt:variant>
      <vt:variant>
        <vt:i4>0</vt:i4>
      </vt:variant>
      <vt:variant>
        <vt:i4>5</vt:i4>
      </vt:variant>
      <vt:variant>
        <vt:lpwstr/>
      </vt:variant>
      <vt:variant>
        <vt:lpwstr>_Toc372551799</vt:lpwstr>
      </vt:variant>
      <vt:variant>
        <vt:i4>1245242</vt:i4>
      </vt:variant>
      <vt:variant>
        <vt:i4>0</vt:i4>
      </vt:variant>
      <vt:variant>
        <vt:i4>0</vt:i4>
      </vt:variant>
      <vt:variant>
        <vt:i4>5</vt:i4>
      </vt:variant>
      <vt:variant>
        <vt:lpwstr>mailto:standards@msc.org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UK Pre-assessment - Brown Crab 26 10 2017</dc:title>
  <dc:creator>suzi.hawkins</dc:creator>
  <cp:lastModifiedBy>CMPAdmin</cp:lastModifiedBy>
  <cp:revision>3</cp:revision>
  <cp:lastPrinted>2018-11-26T13:58:00Z</cp:lastPrinted>
  <dcterms:created xsi:type="dcterms:W3CDTF">2017-10-26T10:44:00Z</dcterms:created>
  <dcterms:modified xsi:type="dcterms:W3CDTF">2018-11-26T13:58:00Z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0x010100FBC0F8BFD01A91498CA7837A71EEDFDB0100D8D74AD133DD5E4C9488BA264812959E</vt:lpwstr>
  </property>
  <property fmtid="{D5CDD505-2E9C-101B-9397-08002B2CF9AE}" pid="3" name="Outreach Category">
    <vt:lpwstr/>
  </property>
  <property fmtid="{D5CDD505-2E9C-101B-9397-08002B2CF9AE}" pid="4" name="Outreach Doc Type">
    <vt:lpwstr/>
  </property>
  <property fmtid="{D5CDD505-2E9C-101B-9397-08002B2CF9AE}" pid="5" name="MSC Location">
    <vt:lpwstr>4;#UK|89e260ee-fd75-4404-94ce-2ecd0fcc0497</vt:lpwstr>
  </property>
</Properties>
</file>